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Pr>
          <w:rFonts w:ascii="Calibri" w:hAnsi="Calibri"/>
          <w:sz w:val="52"/>
        </w:rPr>
        <w:t>Comunicado de prensa</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16E536E7" w14:textId="5EC7E664" w:rsidR="00584095" w:rsidRDefault="00584095" w:rsidP="00766A18">
      <w:pPr>
        <w:rPr>
          <w:rFonts w:ascii="Calibri" w:hAnsi="Calibri" w:cs="Calibri"/>
          <w:b/>
          <w:bCs/>
          <w:color w:val="000000" w:themeColor="text1"/>
          <w:sz w:val="44"/>
          <w:szCs w:val="44"/>
        </w:rPr>
      </w:pPr>
      <w:r>
        <w:rPr>
          <w:rFonts w:ascii="Calibri" w:hAnsi="Calibri"/>
          <w:b/>
          <w:color w:val="000000" w:themeColor="text1"/>
          <w:sz w:val="44"/>
        </w:rPr>
        <w:t>UNITE FOREVER - Cameo hace que Tomorrowland vuelva a brillar tras un gran incendio</w:t>
      </w:r>
    </w:p>
    <w:p w14:paraId="2FE3953A" w14:textId="77777777" w:rsidR="00EF4001" w:rsidRPr="00584095" w:rsidRDefault="00EF4001" w:rsidP="00766A18">
      <w:pPr>
        <w:rPr>
          <w:rFonts w:ascii="Calibri" w:hAnsi="Calibri" w:cs="Calibri"/>
          <w:b/>
          <w:bCs/>
          <w:color w:val="000000" w:themeColor="text1"/>
          <w:sz w:val="44"/>
          <w:szCs w:val="44"/>
        </w:rPr>
      </w:pPr>
    </w:p>
    <w:p w14:paraId="59D15499" w14:textId="71EE3CB6" w:rsidR="00766A18" w:rsidRPr="00766A18" w:rsidRDefault="00766A18" w:rsidP="00766A18">
      <w:pPr>
        <w:rPr>
          <w:rFonts w:ascii="Calibri" w:hAnsi="Calibri" w:cs="Calibri"/>
          <w:b/>
          <w:bCs/>
          <w:sz w:val="22"/>
          <w:szCs w:val="22"/>
        </w:rPr>
      </w:pPr>
      <w:r>
        <w:rPr>
          <w:rFonts w:ascii="Calibri" w:hAnsi="Calibri"/>
          <w:b/>
          <w:sz w:val="22"/>
        </w:rPr>
        <w:t>Neu-Anspach, Alemania, 2</w:t>
      </w:r>
      <w:r w:rsidR="00070AA7">
        <w:rPr>
          <w:rFonts w:ascii="Calibri" w:hAnsi="Calibri"/>
          <w:b/>
          <w:sz w:val="22"/>
        </w:rPr>
        <w:t>8</w:t>
      </w:r>
      <w:r>
        <w:rPr>
          <w:rFonts w:ascii="Calibri" w:hAnsi="Calibri"/>
          <w:b/>
          <w:sz w:val="22"/>
        </w:rPr>
        <w:t xml:space="preserve"> de agosto de 2025 - El festival Tomorrowland 2025 celebrado en Boom, Bélgica, comenzó con una explosión, pero no a nivel musical: apenas unos días antes de que diera comienzo, un gran incendio destruyó el emblemático escenario principal Main Stage. En una proeza sin precedentes, los organizadores, los colaboradores técnicos y los equipos montaron un nuevo escenario en solo 24 horas, lo que se convirtió en un impresionante ejemplo de resistencia y cooperación en la industria de los eventos y de lo que el lema del festival «Live Today. Love Tomorrow. Unite Forever» simboliza. El festival ha contado con más de 260 focos Cameo para exteriores, que proporcionaron grandes y pequeñas producciones de iluminación en varios de los escenarios a pesar de la presión del tiempo y las difíciles condiciones.</w:t>
      </w:r>
    </w:p>
    <w:p w14:paraId="4EA74880" w14:textId="77777777" w:rsidR="00766A18" w:rsidRPr="00766A18" w:rsidRDefault="00766A18" w:rsidP="00766A18">
      <w:pPr>
        <w:rPr>
          <w:rFonts w:ascii="Calibri" w:hAnsi="Calibri" w:cs="Calibri"/>
          <w:b/>
          <w:bCs/>
          <w:sz w:val="22"/>
          <w:szCs w:val="22"/>
        </w:rPr>
      </w:pPr>
    </w:p>
    <w:p w14:paraId="029524F4" w14:textId="42D3FBDD" w:rsidR="00766A18" w:rsidRPr="00766A18" w:rsidRDefault="00766A18" w:rsidP="00766A18">
      <w:pPr>
        <w:rPr>
          <w:rFonts w:ascii="Calibri" w:hAnsi="Calibri" w:cs="Calibri"/>
          <w:b/>
          <w:bCs/>
          <w:sz w:val="22"/>
          <w:szCs w:val="22"/>
        </w:rPr>
      </w:pPr>
      <w:r>
        <w:rPr>
          <w:rFonts w:ascii="Calibri" w:hAnsi="Calibri"/>
          <w:b/>
          <w:sz w:val="22"/>
        </w:rPr>
        <w:t>ZENIT W300 en el nuevo escenario principal</w:t>
      </w:r>
    </w:p>
    <w:p w14:paraId="3CCB3892" w14:textId="11B818AB" w:rsidR="00634B9F" w:rsidRDefault="00766A18" w:rsidP="00766A18">
      <w:pPr>
        <w:rPr>
          <w:rFonts w:ascii="Calibri" w:hAnsi="Calibri" w:cs="Calibri"/>
          <w:sz w:val="22"/>
          <w:szCs w:val="22"/>
        </w:rPr>
      </w:pPr>
      <w:r>
        <w:rPr>
          <w:rFonts w:ascii="Calibri" w:hAnsi="Calibri"/>
          <w:sz w:val="22"/>
        </w:rPr>
        <w:t>PRG BeNeFra se encargó del diseño de la iluminación y del montaje de estructuras del escenario principal. «Fue todo un shock», dice Peter Robberechts, director ejecutivo, al recordar el momento del incendio. «Pero en cuanto quedó claro que no había heridos, lo siguiente en lo que se pensó fue: ¿qué hay que hacer ahora y con cuánta rapidez?». El nuevo escenario principal se equipó rápidamente con una selección de focos disponibles, incluidos los washer LED Cameo ZENIT W300 para exteriores. «Los ZENIT W300 fueron un fuerte ancla visual para el nuevo escenario», explica Peter Robberechts. «Su flexibilidad y calidad fueron decisivas para el resultado global».</w:t>
      </w:r>
    </w:p>
    <w:p w14:paraId="29DC240D" w14:textId="77777777" w:rsidR="00634B9F" w:rsidRDefault="00634B9F" w:rsidP="00766A18">
      <w:pPr>
        <w:rPr>
          <w:rFonts w:ascii="Calibri" w:hAnsi="Calibri" w:cs="Calibri"/>
          <w:sz w:val="22"/>
          <w:szCs w:val="22"/>
        </w:rPr>
      </w:pPr>
    </w:p>
    <w:p w14:paraId="67409D7B" w14:textId="2160754E" w:rsidR="00766A18" w:rsidRPr="00766A18" w:rsidRDefault="00766A18" w:rsidP="00A9059A">
      <w:pPr>
        <w:pStyle w:val="StandardWeb"/>
        <w:spacing w:before="0" w:beforeAutospacing="0" w:after="0" w:afterAutospacing="0"/>
        <w:textAlignment w:val="baseline"/>
        <w:rPr>
          <w:rFonts w:ascii="Calibri" w:hAnsi="Calibri" w:cs="Calibri"/>
          <w:sz w:val="22"/>
          <w:szCs w:val="22"/>
        </w:rPr>
      </w:pPr>
      <w:r>
        <w:rPr>
          <w:rFonts w:ascii="Calibri" w:hAnsi="Calibri"/>
          <w:sz w:val="22"/>
        </w:rPr>
        <w:t>El reto consistía en reorganizar la tecnología, el suministro eléctrico, las estructuras, las redes y la programación en pocas horas y sin comprometer la seguridad ni la eficacia. Peter Robberechts: «Ha sido una de las experiencias más inspiradoras de mi carrera. Todos los implicados, desde los equipos hasta los proveedores y los organizadores, trabajaron juntos para conseguir algo extraordinario. Este apoyo mutuo no tuvo precio».</w:t>
      </w:r>
    </w:p>
    <w:p w14:paraId="34E65EF0" w14:textId="77777777" w:rsidR="00766A18" w:rsidRPr="00766A18" w:rsidRDefault="00766A18" w:rsidP="00766A18">
      <w:pPr>
        <w:rPr>
          <w:rFonts w:ascii="Calibri" w:hAnsi="Calibri" w:cs="Calibri"/>
          <w:sz w:val="22"/>
          <w:szCs w:val="22"/>
        </w:rPr>
      </w:pPr>
    </w:p>
    <w:p w14:paraId="04D4DC35" w14:textId="77777777" w:rsidR="00766A18" w:rsidRPr="00766A18" w:rsidRDefault="00766A18" w:rsidP="00766A18">
      <w:pPr>
        <w:rPr>
          <w:rFonts w:ascii="Calibri" w:hAnsi="Calibri" w:cs="Calibri"/>
          <w:b/>
          <w:bCs/>
          <w:sz w:val="22"/>
          <w:szCs w:val="22"/>
        </w:rPr>
      </w:pPr>
      <w:r>
        <w:rPr>
          <w:rFonts w:ascii="Calibri" w:hAnsi="Calibri"/>
          <w:b/>
          <w:sz w:val="22"/>
        </w:rPr>
        <w:t>OTOS W12 en los escenarios Planaxis y Rise Stage</w:t>
      </w:r>
    </w:p>
    <w:p w14:paraId="21605E39" w14:textId="522C3632" w:rsidR="00766A18" w:rsidRPr="00766A18" w:rsidRDefault="00766A18" w:rsidP="00766A18">
      <w:pPr>
        <w:rPr>
          <w:rFonts w:ascii="Calibri" w:hAnsi="Calibri" w:cs="Calibri"/>
          <w:sz w:val="22"/>
          <w:szCs w:val="22"/>
        </w:rPr>
      </w:pPr>
      <w:r>
        <w:rPr>
          <w:rFonts w:ascii="Calibri" w:hAnsi="Calibri"/>
          <w:sz w:val="22"/>
        </w:rPr>
        <w:t>Cameo también se utilizó en los otros escenarios del festival. En el escenario Planaxis, con forma de concha y directamente situado junto a una zona de agua, y en el Rise Stage, situado en el bosque, el socio técnico de muchos años L&amp;L Stage Service optó específicamente por Cameo OTOS W12. La cabeza móvil washer IP65 impresionó por su gran rendimiento en exteriores, sus ajustes de zoom variables y su gran calidad de color, ideal para las amplias y luminosas zonas del escenario y los efectos atmosféricos entre árboles y elementos acuáticos. «En especial las grandes superficies blancas requerían una gran calidad de luz, y OTOS W12 era claramente la primera opción en este caso», afirma Bart Weyts, director ejecutivo de L&amp;L Stage Service. Especialmente tras la puesta de sol, OTOS W12 creó espectaculares efectos de haz a través de las copas de los árboles: un memorable juego de luz y naturaleza.</w:t>
      </w:r>
    </w:p>
    <w:p w14:paraId="090B7E30" w14:textId="77777777" w:rsidR="00766A18" w:rsidRPr="00766A18" w:rsidRDefault="00766A18" w:rsidP="00766A18">
      <w:pPr>
        <w:rPr>
          <w:rFonts w:ascii="Calibri" w:hAnsi="Calibri" w:cs="Calibri"/>
          <w:sz w:val="22"/>
          <w:szCs w:val="22"/>
        </w:rPr>
      </w:pPr>
    </w:p>
    <w:p w14:paraId="18F4A3DF" w14:textId="77777777" w:rsidR="00766A18" w:rsidRPr="00766A18" w:rsidRDefault="00766A18" w:rsidP="00766A18">
      <w:pPr>
        <w:rPr>
          <w:rFonts w:ascii="Calibri" w:hAnsi="Calibri" w:cs="Calibri"/>
          <w:b/>
          <w:bCs/>
          <w:sz w:val="22"/>
          <w:szCs w:val="22"/>
        </w:rPr>
      </w:pPr>
      <w:r>
        <w:rPr>
          <w:rFonts w:ascii="Calibri" w:hAnsi="Calibri"/>
          <w:b/>
          <w:sz w:val="22"/>
        </w:rPr>
        <w:t>ORON H2 en el escenario Crystal Garden</w:t>
      </w:r>
    </w:p>
    <w:p w14:paraId="1953EF30" w14:textId="0B44E6FE" w:rsidR="00766A18" w:rsidRPr="00766A18" w:rsidRDefault="00766A18" w:rsidP="00766A18">
      <w:pPr>
        <w:rPr>
          <w:rFonts w:ascii="Calibri" w:hAnsi="Calibri" w:cs="Calibri"/>
          <w:sz w:val="22"/>
          <w:szCs w:val="22"/>
        </w:rPr>
      </w:pPr>
      <w:r>
        <w:rPr>
          <w:rFonts w:ascii="Calibri" w:hAnsi="Calibri"/>
          <w:sz w:val="22"/>
        </w:rPr>
        <w:t>Un año más, las cabezas móviles híbridas con motor de fósforo láser ORON H2 de Cameo se utilizaron en el escenario flotante Crystal Garden, con sus limitadas opciones de estructura. Los focos, con certificación IP65, impresionaron por su rápida respuesta, su precisa reproducción de colores y su gran capacidad de integración en diseños de iluminación complejos, incluso en condiciones exteriores difíciles. «En un entorno tan animado como el Crystal Garden, los focos ORON H2 destacan especialmente por su rendimiento: precisos, fiables y visualmente fuertes», confirma Peter Robberechts.</w:t>
      </w:r>
    </w:p>
    <w:p w14:paraId="27C39393" w14:textId="77777777" w:rsidR="00766A18" w:rsidRDefault="00766A18" w:rsidP="00766A18">
      <w:pPr>
        <w:rPr>
          <w:rFonts w:ascii="Calibri" w:hAnsi="Calibri" w:cs="Calibri"/>
          <w:sz w:val="22"/>
          <w:szCs w:val="22"/>
        </w:rPr>
      </w:pPr>
    </w:p>
    <w:p w14:paraId="626BD080" w14:textId="272F07B4" w:rsidR="007463E0" w:rsidRDefault="007463E0" w:rsidP="00766A18">
      <w:pPr>
        <w:rPr>
          <w:rFonts w:ascii="Calibri" w:hAnsi="Calibri" w:cs="Calibri"/>
          <w:sz w:val="22"/>
          <w:szCs w:val="22"/>
        </w:rPr>
      </w:pPr>
      <w:r>
        <w:rPr>
          <w:rFonts w:ascii="Calibri" w:hAnsi="Calibri"/>
          <w:sz w:val="22"/>
        </w:rPr>
        <w:t>Para Peter Robberechts, el incendio de Tomorrowland no solo fue un shock, sino también una lección sobre gestión de crisis en el sector de los eventos en directo: «Una buena preparación es importante, pero siempre son las personas las que marcan la diferencia. En una situación de crisis necesitas un liderazgo claro sobre el terreno, una toma de decisiones rápida y la plena confianza de todos los implicados. Es muy valioso contar con socios y empleados que mantengan la calma, actúen con rapidez y colaboren sin egoísmos. Todo el mundo ha contribuido: nuestro equipo, el equipo de Tomorrowland y todos los proveedores. Esta catástrofe ha demostrado una vez más de lo que es capaz esta industria».</w:t>
      </w:r>
    </w:p>
    <w:p w14:paraId="1392B62A" w14:textId="77777777" w:rsidR="007463E0" w:rsidRPr="00D31732" w:rsidRDefault="007463E0" w:rsidP="00766A18">
      <w:pPr>
        <w:rPr>
          <w:rFonts w:ascii="Calibri" w:hAnsi="Calibri" w:cs="Calibri"/>
          <w:sz w:val="22"/>
          <w:szCs w:val="22"/>
        </w:rPr>
      </w:pPr>
    </w:p>
    <w:p w14:paraId="7FFE081C" w14:textId="77777777" w:rsidR="00D8130C" w:rsidRPr="00766A1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766A18" w:rsidRDefault="00D8130C" w:rsidP="00D8130C">
      <w:pPr>
        <w:rPr>
          <w:rFonts w:ascii="Calibri" w:hAnsi="Calibri" w:cs="Calibri"/>
          <w:b/>
          <w:bCs/>
          <w:sz w:val="22"/>
          <w:szCs w:val="22"/>
        </w:rPr>
      </w:pPr>
    </w:p>
    <w:p w14:paraId="01283AC8" w14:textId="77777777" w:rsidR="00D8130C" w:rsidRPr="00766A18" w:rsidRDefault="00D8130C" w:rsidP="00D8130C">
      <w:pPr>
        <w:rPr>
          <w:rFonts w:ascii="Calibri" w:hAnsi="Calibri" w:cs="Calibri"/>
          <w:b/>
          <w:sz w:val="22"/>
          <w:szCs w:val="22"/>
        </w:rPr>
      </w:pPr>
      <w:r>
        <w:rPr>
          <w:rFonts w:ascii="Calibri" w:hAnsi="Calibri"/>
          <w:b/>
          <w:sz w:val="22"/>
        </w:rPr>
        <w:t>Más información:</w:t>
      </w:r>
    </w:p>
    <w:p w14:paraId="5F36C577" w14:textId="3EDA5DA1" w:rsidR="00D66449" w:rsidRDefault="00584095" w:rsidP="00D8130C">
      <w:pPr>
        <w:rPr>
          <w:rFonts w:ascii="Calibri" w:hAnsi="Calibri" w:cs="Calibri"/>
          <w:sz w:val="22"/>
          <w:szCs w:val="22"/>
        </w:rPr>
      </w:pPr>
      <w:hyperlink r:id="rId10" w:history="1">
        <w:r>
          <w:rPr>
            <w:rStyle w:val="Hyperlink"/>
            <w:rFonts w:ascii="Calibri" w:hAnsi="Calibri"/>
            <w:sz w:val="22"/>
          </w:rPr>
          <w:t>tomorrowland.com</w:t>
        </w:r>
      </w:hyperlink>
      <w:r w:rsidRPr="00584095">
        <w:rPr>
          <w:rFonts w:ascii="Calibri" w:hAnsi="Calibri"/>
          <w:sz w:val="22"/>
          <w:szCs w:val="22"/>
        </w:rPr>
        <w:br/>
      </w:r>
      <w:hyperlink r:id="rId11" w:history="1">
        <w:r>
          <w:rPr>
            <w:rStyle w:val="Hyperlink"/>
            <w:rFonts w:ascii="Calibri" w:hAnsi="Calibri"/>
            <w:sz w:val="22"/>
          </w:rPr>
          <w:t>prg.com</w:t>
        </w:r>
      </w:hyperlink>
      <w:r w:rsidRPr="00584095">
        <w:rPr>
          <w:rFonts w:ascii="Calibri" w:hAnsi="Calibri"/>
          <w:sz w:val="22"/>
          <w:szCs w:val="22"/>
        </w:rPr>
        <w:br/>
      </w:r>
      <w:hyperlink r:id="rId12" w:history="1">
        <w:r>
          <w:rPr>
            <w:rStyle w:val="Hyperlink"/>
            <w:rFonts w:ascii="Calibri" w:hAnsi="Calibri"/>
            <w:sz w:val="22"/>
          </w:rPr>
          <w:t>llstageservice.be</w:t>
        </w:r>
      </w:hyperlink>
    </w:p>
    <w:p w14:paraId="569DD164" w14:textId="77777777" w:rsidR="00584095" w:rsidRPr="00584095" w:rsidRDefault="00584095" w:rsidP="00D8130C">
      <w:pPr>
        <w:rPr>
          <w:rFonts w:ascii="Calibri" w:hAnsi="Calibri" w:cs="Calibri"/>
          <w:sz w:val="22"/>
          <w:szCs w:val="22"/>
        </w:rPr>
      </w:pPr>
    </w:p>
    <w:p w14:paraId="40DC6264" w14:textId="77777777" w:rsidR="00D8130C" w:rsidRPr="00584095" w:rsidRDefault="00D8130C" w:rsidP="00D8130C">
      <w:pPr>
        <w:rPr>
          <w:rFonts w:ascii="Calibri" w:hAnsi="Calibri" w:cs="Calibri"/>
          <w:sz w:val="22"/>
          <w:szCs w:val="22"/>
        </w:rPr>
      </w:pPr>
      <w:hyperlink r:id="rId13" w:history="1">
        <w:r>
          <w:rPr>
            <w:rStyle w:val="Hyperlink"/>
            <w:rFonts w:ascii="Calibri" w:hAnsi="Calibri"/>
            <w:sz w:val="22"/>
          </w:rPr>
          <w:t>cameolight.com</w:t>
        </w:r>
      </w:hyperlink>
    </w:p>
    <w:p w14:paraId="61B77FE6" w14:textId="77777777" w:rsidR="00D8130C" w:rsidRPr="00584095" w:rsidRDefault="00D8130C" w:rsidP="00D8130C">
      <w:pPr>
        <w:rPr>
          <w:rStyle w:val="Hyperlink"/>
          <w:rFonts w:ascii="Calibri" w:eastAsia="Arial" w:hAnsi="Calibri" w:cs="Calibri"/>
          <w:bCs/>
          <w:color w:val="000000" w:themeColor="text1"/>
          <w:sz w:val="22"/>
          <w:szCs w:val="22"/>
        </w:rPr>
      </w:pPr>
      <w:hyperlink r:id="rId14" w:history="1">
        <w:r>
          <w:rPr>
            <w:rStyle w:val="Hyperlink"/>
            <w:rFonts w:ascii="Calibri" w:hAnsi="Calibri"/>
            <w:color w:val="000000" w:themeColor="text1"/>
            <w:sz w:val="22"/>
          </w:rPr>
          <w:t>adamhall.com</w:t>
        </w:r>
      </w:hyperlink>
    </w:p>
    <w:p w14:paraId="757CA626" w14:textId="77777777" w:rsidR="005F5AE6" w:rsidRPr="00766A18" w:rsidRDefault="005F5AE6" w:rsidP="00E05A29">
      <w:pPr>
        <w:rPr>
          <w:rStyle w:val="Hyperlink"/>
          <w:rFonts w:ascii="Calibri" w:eastAsia="Arial" w:hAnsi="Calibri" w:cs="Calibri"/>
          <w:sz w:val="22"/>
          <w:szCs w:val="22"/>
        </w:rPr>
      </w:pPr>
    </w:p>
    <w:p w14:paraId="48E92EA1" w14:textId="77777777" w:rsidR="004330C6" w:rsidRPr="00766A18" w:rsidRDefault="004330C6" w:rsidP="004330C6">
      <w:pPr>
        <w:pStyle w:val="KeinLeerraum"/>
        <w:rPr>
          <w:rFonts w:ascii="Calibri" w:hAnsi="Calibri"/>
          <w:b/>
          <w:color w:val="808080"/>
          <w:sz w:val="18"/>
        </w:rPr>
      </w:pPr>
      <w:r>
        <w:rPr>
          <w:rFonts w:ascii="Calibri" w:hAnsi="Calibri"/>
          <w:b/>
          <w:color w:val="808080"/>
          <w:sz w:val="18"/>
        </w:rPr>
        <w:t>Acerca de Adam Hall Group</w:t>
      </w:r>
    </w:p>
    <w:p w14:paraId="5300F5D9" w14:textId="2360123A" w:rsidR="000C2D39" w:rsidRPr="00D31732" w:rsidRDefault="004330C6" w:rsidP="00BE0CC2">
      <w:pPr>
        <w:pStyle w:val="KeinLeerraum"/>
        <w:rPr>
          <w:rFonts w:ascii="Calibri" w:hAnsi="Calibri"/>
          <w:color w:val="808080"/>
          <w:sz w:val="18"/>
        </w:rPr>
      </w:pPr>
      <w:r>
        <w:rPr>
          <w:rFonts w:ascii="Calibri" w:hAnsi="Calibri"/>
          <w:color w:val="808080"/>
          <w:sz w:val="18"/>
        </w:rPr>
        <w:t xml:space="preserve">Adam Hall Group es un fabricante y distribuidor alemán líder que ofrece soluciones de tecnología de eventos para socios comerciales de todo el mundo. Su público objetivo incluye, entre otros, a minoristas, distribuidores B2B, empresas de alquiler y organización de eventos, estudios de televisión, integradores audiovisuales y de sistemas, empresas tanto privadas como públicas y fabricantes de flightcases industriales. Con sus marcas </w:t>
      </w:r>
      <w:r w:rsidRPr="00766A18">
        <w:rPr>
          <w:rFonts w:ascii="Calibri" w:hAnsi="Calibri"/>
          <w:b/>
          <w:color w:val="808080"/>
          <w:sz w:val="18"/>
        </w:rPr>
        <w:t>LD Systems®, Cameo®, Gravity®, Defender®, Palmer® y Adam Hall®</w:t>
      </w:r>
      <w:r>
        <w:rPr>
          <w:rFonts w:ascii="Calibri" w:hAnsi="Calibri"/>
          <w:color w:val="808080"/>
          <w:sz w:val="18"/>
        </w:rPr>
        <w:t xml:space="preserve">, la empresa distribuye una amplia gama de equipos profesionales de audio e iluminación, así como equipamiento para escenario y hardware para flightcases. Desde su fundación en 1975, Adam Hall Group se ha convertido en una empresa moderna e innovadora en el sector de tecnología de eventos y dispone de un centro logístico con un almacén de más de 14 000 metros cuadrados próximo a su sede corporativa, no lejos de Fráncfort del Meno (Alemania). Gracias a su enfoque en la creación de valor y en el servicio que presta, Adam Hall Group ya cuenta con toda una serie de reconocimientos internacionales concedidos por sus desarrollos innovadores y diseños pioneros por parte de diversas instituciones de prestigio tales como "Red Dot", "German Design Award" e "iF Industrie Forum Design". En colaboración con la agencia de diseño F. A. Porsche, LD Systems® anticipa el futuro del diseño para audio profesional con su emblemática columna de altavoces MAUI® P900 y ha sido reconocido recientemente por ello con el codiciado premio German Design Award. Más información sobre Adam Hall Group en el sitio web </w:t>
      </w:r>
      <w:hyperlink r:id="rId15">
        <w:r>
          <w:rPr>
            <w:rStyle w:val="Hyperlink"/>
            <w:rFonts w:ascii="Calibri" w:hAnsi="Calibri"/>
            <w:sz w:val="18"/>
            <w:u w:val="none"/>
          </w:rPr>
          <w:t>www.adamhall.com</w:t>
        </w:r>
      </w:hyperlink>
      <w:r w:rsidRPr="00766A18">
        <w:rPr>
          <w:rFonts w:ascii="Calibri" w:hAnsi="Calibri"/>
          <w:color w:val="808080" w:themeColor="background1" w:themeShade="80"/>
          <w:sz w:val="18"/>
        </w:rPr>
        <w:t>.</w:t>
      </w:r>
    </w:p>
    <w:sectPr w:rsidR="000C2D39" w:rsidRPr="00D31732"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39F16" w14:textId="77777777" w:rsidR="006243FD" w:rsidRDefault="006243FD" w:rsidP="004330C6">
      <w:r>
        <w:separator/>
      </w:r>
    </w:p>
  </w:endnote>
  <w:endnote w:type="continuationSeparator" w:id="0">
    <w:p w14:paraId="42CCB420" w14:textId="77777777" w:rsidR="006243FD" w:rsidRDefault="006243FD" w:rsidP="004330C6">
      <w:r>
        <w:continuationSeparator/>
      </w:r>
    </w:p>
  </w:endnote>
  <w:endnote w:type="continuationNotice" w:id="1">
    <w:p w14:paraId="6F2725F3" w14:textId="77777777" w:rsidR="006243FD" w:rsidRDefault="006243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724C4" w14:textId="77777777" w:rsidR="006243FD" w:rsidRDefault="006243FD" w:rsidP="004330C6">
      <w:r>
        <w:separator/>
      </w:r>
    </w:p>
  </w:footnote>
  <w:footnote w:type="continuationSeparator" w:id="0">
    <w:p w14:paraId="0D6C0D11" w14:textId="77777777" w:rsidR="006243FD" w:rsidRDefault="006243FD" w:rsidP="004330C6">
      <w:r>
        <w:continuationSeparator/>
      </w:r>
    </w:p>
  </w:footnote>
  <w:footnote w:type="continuationNotice" w:id="1">
    <w:p w14:paraId="365EE5FF" w14:textId="77777777" w:rsidR="006243FD" w:rsidRDefault="006243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70AA7"/>
    <w:rsid w:val="000818EA"/>
    <w:rsid w:val="00086C2C"/>
    <w:rsid w:val="000915D6"/>
    <w:rsid w:val="00092E57"/>
    <w:rsid w:val="00093AB0"/>
    <w:rsid w:val="00094AE6"/>
    <w:rsid w:val="00095BAC"/>
    <w:rsid w:val="00095D5A"/>
    <w:rsid w:val="000A0FC3"/>
    <w:rsid w:val="000A5344"/>
    <w:rsid w:val="000B66F5"/>
    <w:rsid w:val="000B6824"/>
    <w:rsid w:val="000C103B"/>
    <w:rsid w:val="000C2A45"/>
    <w:rsid w:val="000C2D39"/>
    <w:rsid w:val="000C3D65"/>
    <w:rsid w:val="000C4F6D"/>
    <w:rsid w:val="000C5BAB"/>
    <w:rsid w:val="000C6A86"/>
    <w:rsid w:val="000D5730"/>
    <w:rsid w:val="000E17DE"/>
    <w:rsid w:val="000E25E3"/>
    <w:rsid w:val="000E3EBF"/>
    <w:rsid w:val="000F055E"/>
    <w:rsid w:val="000F12FB"/>
    <w:rsid w:val="000F71A3"/>
    <w:rsid w:val="001029AE"/>
    <w:rsid w:val="00111329"/>
    <w:rsid w:val="001142D7"/>
    <w:rsid w:val="00117B88"/>
    <w:rsid w:val="00120233"/>
    <w:rsid w:val="001205C6"/>
    <w:rsid w:val="00120A0C"/>
    <w:rsid w:val="00124F49"/>
    <w:rsid w:val="001309F7"/>
    <w:rsid w:val="00134EF8"/>
    <w:rsid w:val="00135BAE"/>
    <w:rsid w:val="00137258"/>
    <w:rsid w:val="001377DB"/>
    <w:rsid w:val="001410F0"/>
    <w:rsid w:val="00143274"/>
    <w:rsid w:val="001452D7"/>
    <w:rsid w:val="00145E8F"/>
    <w:rsid w:val="001543F7"/>
    <w:rsid w:val="00162DF3"/>
    <w:rsid w:val="00164685"/>
    <w:rsid w:val="00175DBD"/>
    <w:rsid w:val="00177F1F"/>
    <w:rsid w:val="00184D8B"/>
    <w:rsid w:val="001905C4"/>
    <w:rsid w:val="00190662"/>
    <w:rsid w:val="00195D91"/>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1CA7"/>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5967"/>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D6C10"/>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095"/>
    <w:rsid w:val="00584211"/>
    <w:rsid w:val="005876FE"/>
    <w:rsid w:val="00587CCD"/>
    <w:rsid w:val="00591392"/>
    <w:rsid w:val="005A1200"/>
    <w:rsid w:val="005A65B1"/>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43FD"/>
    <w:rsid w:val="00625995"/>
    <w:rsid w:val="0063132F"/>
    <w:rsid w:val="00633CC0"/>
    <w:rsid w:val="00634B9F"/>
    <w:rsid w:val="00640650"/>
    <w:rsid w:val="00640BCD"/>
    <w:rsid w:val="00645AA1"/>
    <w:rsid w:val="0064672E"/>
    <w:rsid w:val="00647C22"/>
    <w:rsid w:val="00652A61"/>
    <w:rsid w:val="0066481D"/>
    <w:rsid w:val="00671046"/>
    <w:rsid w:val="00677D89"/>
    <w:rsid w:val="006811A8"/>
    <w:rsid w:val="00681218"/>
    <w:rsid w:val="00683F82"/>
    <w:rsid w:val="00685D18"/>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2F5C"/>
    <w:rsid w:val="007153F5"/>
    <w:rsid w:val="007159BB"/>
    <w:rsid w:val="00721C7D"/>
    <w:rsid w:val="0072231E"/>
    <w:rsid w:val="00722C64"/>
    <w:rsid w:val="00723BDD"/>
    <w:rsid w:val="007335D7"/>
    <w:rsid w:val="00735620"/>
    <w:rsid w:val="00741C5C"/>
    <w:rsid w:val="00745291"/>
    <w:rsid w:val="00745F0B"/>
    <w:rsid w:val="007463E0"/>
    <w:rsid w:val="007473EB"/>
    <w:rsid w:val="00750B99"/>
    <w:rsid w:val="00753699"/>
    <w:rsid w:val="00761DEA"/>
    <w:rsid w:val="00766A18"/>
    <w:rsid w:val="007724A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1494"/>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6DE"/>
    <w:rsid w:val="0086585B"/>
    <w:rsid w:val="00865BD6"/>
    <w:rsid w:val="00870A92"/>
    <w:rsid w:val="00872F41"/>
    <w:rsid w:val="008751B7"/>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38BC"/>
    <w:rsid w:val="00956620"/>
    <w:rsid w:val="00956CE1"/>
    <w:rsid w:val="009643EB"/>
    <w:rsid w:val="00964D2F"/>
    <w:rsid w:val="00971B78"/>
    <w:rsid w:val="0097368B"/>
    <w:rsid w:val="009766EF"/>
    <w:rsid w:val="009778CC"/>
    <w:rsid w:val="00980599"/>
    <w:rsid w:val="00983DED"/>
    <w:rsid w:val="009865C4"/>
    <w:rsid w:val="009A72C4"/>
    <w:rsid w:val="009A73B4"/>
    <w:rsid w:val="009A7BEB"/>
    <w:rsid w:val="009B1D21"/>
    <w:rsid w:val="009B56F9"/>
    <w:rsid w:val="009B5B18"/>
    <w:rsid w:val="009C2121"/>
    <w:rsid w:val="009C2FC3"/>
    <w:rsid w:val="009C501A"/>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678"/>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059A"/>
    <w:rsid w:val="00A9154B"/>
    <w:rsid w:val="00A923B8"/>
    <w:rsid w:val="00A947D9"/>
    <w:rsid w:val="00AA02A4"/>
    <w:rsid w:val="00AB080D"/>
    <w:rsid w:val="00AB23EF"/>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23CA9"/>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3C14"/>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5A6F"/>
    <w:rsid w:val="00C163D2"/>
    <w:rsid w:val="00C1680C"/>
    <w:rsid w:val="00C25136"/>
    <w:rsid w:val="00C25742"/>
    <w:rsid w:val="00C328A4"/>
    <w:rsid w:val="00C34EC8"/>
    <w:rsid w:val="00C3535E"/>
    <w:rsid w:val="00C3594C"/>
    <w:rsid w:val="00C432CE"/>
    <w:rsid w:val="00C4796C"/>
    <w:rsid w:val="00C47DE7"/>
    <w:rsid w:val="00C5292A"/>
    <w:rsid w:val="00C55E85"/>
    <w:rsid w:val="00C60015"/>
    <w:rsid w:val="00C6301B"/>
    <w:rsid w:val="00C66F10"/>
    <w:rsid w:val="00C75511"/>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0F8E"/>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46F5D"/>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B6F75"/>
    <w:rsid w:val="00EC3E81"/>
    <w:rsid w:val="00EC5E6B"/>
    <w:rsid w:val="00ED4B47"/>
    <w:rsid w:val="00ED5FC7"/>
    <w:rsid w:val="00EE0A6D"/>
    <w:rsid w:val="00EE0F8A"/>
    <w:rsid w:val="00EF4001"/>
    <w:rsid w:val="00F007DC"/>
    <w:rsid w:val="00F00F40"/>
    <w:rsid w:val="00F03713"/>
    <w:rsid w:val="00F06847"/>
    <w:rsid w:val="00F1079F"/>
    <w:rsid w:val="00F10AE8"/>
    <w:rsid w:val="00F1313D"/>
    <w:rsid w:val="00F13C0D"/>
    <w:rsid w:val="00F14855"/>
    <w:rsid w:val="00F20476"/>
    <w:rsid w:val="00F21E77"/>
    <w:rsid w:val="00F2298A"/>
    <w:rsid w:val="00F22EA0"/>
    <w:rsid w:val="00F22FA9"/>
    <w:rsid w:val="00F27082"/>
    <w:rsid w:val="00F40FC9"/>
    <w:rsid w:val="00F4178D"/>
    <w:rsid w:val="00F43EA8"/>
    <w:rsid w:val="00F46090"/>
    <w:rsid w:val="00F472FA"/>
    <w:rsid w:val="00F5035A"/>
    <w:rsid w:val="00F62431"/>
    <w:rsid w:val="00F67AD4"/>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lstageservice.be/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rg.com/"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www.tomorrowland.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C1E0DC-C9F7-4457-B44B-ED03E72C8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9105D6-2681-4C51-A73F-3D53165EBA7C}">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B97C9BA6-8AAE-4848-8E03-6EA4A56DDD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879</Words>
  <Characters>5538</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70</cp:revision>
  <cp:lastPrinted>2019-01-10T17:28:00Z</cp:lastPrinted>
  <dcterms:created xsi:type="dcterms:W3CDTF">2022-04-19T14:05:00Z</dcterms:created>
  <dcterms:modified xsi:type="dcterms:W3CDTF">2025-08-26T10:50:00Z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