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1B43FF" w:rsidRDefault="004330C6" w:rsidP="003817D3">
      <w:pPr>
        <w:rPr>
          <w:rFonts w:ascii="Arial" w:hAnsi="Arial"/>
          <w:b/>
          <w:color w:val="000000" w:themeColor="text1"/>
          <w:sz w:val="28"/>
          <w:bdr w:val="none" w:sz="0" w:space="0" w:color="auto" w:frame="1"/>
        </w:rPr>
      </w:pPr>
      <w:r>
        <w:rPr>
          <w:rFonts w:ascii="Calibri" w:hAnsi="Calibri"/>
          <w:sz w:val="52"/>
        </w:rPr>
        <w:t>Nota de prensa</w:t>
      </w:r>
    </w:p>
    <w:p w14:paraId="230558DA" w14:textId="61A55546" w:rsidR="004330C6" w:rsidRPr="001B43FF" w:rsidRDefault="004330C6" w:rsidP="003817D3">
      <w:pPr>
        <w:rPr>
          <w:rFonts w:ascii="Arial" w:hAnsi="Arial"/>
          <w:b/>
          <w:color w:val="000000" w:themeColor="text1"/>
          <w:sz w:val="28"/>
          <w:bdr w:val="none" w:sz="0" w:space="0" w:color="auto" w:frame="1"/>
        </w:rPr>
      </w:pPr>
    </w:p>
    <w:p w14:paraId="1F2E7A7D" w14:textId="77777777" w:rsidR="004330C6" w:rsidRPr="001B43FF" w:rsidRDefault="004330C6" w:rsidP="003817D3">
      <w:pPr>
        <w:rPr>
          <w:rFonts w:ascii="Arial" w:hAnsi="Arial"/>
          <w:b/>
          <w:color w:val="000000" w:themeColor="text1"/>
          <w:sz w:val="28"/>
          <w:bdr w:val="none" w:sz="0" w:space="0" w:color="auto" w:frame="1"/>
        </w:rPr>
      </w:pPr>
    </w:p>
    <w:p w14:paraId="60BC4EBE" w14:textId="4E8A05CA" w:rsidR="005B627E" w:rsidRPr="001B43FF" w:rsidRDefault="00AE0290" w:rsidP="005B627E">
      <w:pPr>
        <w:rPr>
          <w:rFonts w:ascii="Calibri" w:hAnsi="Calibri" w:cs="Calibri"/>
          <w:b/>
          <w:sz w:val="44"/>
          <w:szCs w:val="44"/>
        </w:rPr>
      </w:pPr>
      <w:r>
        <w:rPr>
          <w:rFonts w:ascii="Calibri" w:hAnsi="Calibri"/>
          <w:b/>
          <w:sz w:val="44"/>
        </w:rPr>
        <w:t>Crear nuevas tradiciones: Cameo presenta el foco profile LED P6</w:t>
      </w:r>
    </w:p>
    <w:p w14:paraId="4E0D0DE2" w14:textId="77777777" w:rsidR="00983DED" w:rsidRPr="001B43FF" w:rsidRDefault="00983DED" w:rsidP="00983DED">
      <w:pPr>
        <w:rPr>
          <w:rFonts w:ascii="Calibri" w:hAnsi="Calibri" w:cs="Arial"/>
          <w:b/>
          <w:bCs/>
          <w:color w:val="0D0D0D" w:themeColor="text1" w:themeTint="F2"/>
          <w:sz w:val="44"/>
          <w:szCs w:val="44"/>
          <w:bdr w:val="none" w:sz="0" w:space="0" w:color="auto" w:frame="1"/>
        </w:rPr>
      </w:pPr>
    </w:p>
    <w:p w14:paraId="386FF57E" w14:textId="3C0B8F7B" w:rsidR="001C56DA" w:rsidRPr="001B43FF" w:rsidRDefault="00983DED" w:rsidP="001B43FF">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 xml:space="preserve">Neu Anspach, Alemania, </w:t>
      </w:r>
      <w:r>
        <w:rPr>
          <w:rFonts w:ascii="Calibri" w:hAnsi="Calibri"/>
          <w:b/>
          <w:sz w:val="22"/>
          <w:bdr w:val="none" w:sz="0" w:space="0" w:color="auto" w:frame="1"/>
        </w:rPr>
        <w:t>14 de abril de 2025</w:t>
      </w:r>
      <w:r>
        <w:rPr>
          <w:rFonts w:ascii="Calibri" w:hAnsi="Calibri"/>
          <w:b/>
          <w:color w:val="0D0D0D" w:themeColor="text1" w:themeTint="F2"/>
          <w:sz w:val="22"/>
          <w:bdr w:val="none" w:sz="0" w:space="0" w:color="auto" w:frame="1"/>
        </w:rPr>
        <w:t>.— Cameo presenta el foco profile LED P6. El último y más potente modelo de la serie P es un foco profile LED innovador que, con su motor RGBACL de 600 W y 16.000 lúmenes, es el sustituto ideal y de bajo consumo de los tradicionales focos profile halógenos de 2,5 kW. La eficaz combinación de intensidad y calidad de iluminación, reproducción natural del color y versátiles herramientas de diseño de iluminación del foco Cameo P6 lo convierten en la solución de iluminación ideal no solo para teatros, musicales y estudios de televisión, sino también para conferencias y escenarios de eventos en directo y corporativos.</w:t>
      </w:r>
    </w:p>
    <w:p w14:paraId="0B40D10D" w14:textId="50A0A388" w:rsidR="005E6B2E" w:rsidRPr="001B43FF" w:rsidRDefault="005E6B2E" w:rsidP="001B43FF">
      <w:pPr>
        <w:rPr>
          <w:rFonts w:ascii="Calibri" w:hAnsi="Calibri" w:cs="Calibri"/>
          <w:b/>
          <w:bCs/>
          <w:color w:val="0D0D0D" w:themeColor="text1" w:themeTint="F2"/>
          <w:sz w:val="22"/>
          <w:szCs w:val="22"/>
          <w:bdr w:val="none" w:sz="0" w:space="0" w:color="auto" w:frame="1"/>
        </w:rPr>
      </w:pPr>
    </w:p>
    <w:p w14:paraId="7559F4DB" w14:textId="02AC1598" w:rsidR="00F82D9C" w:rsidRPr="001B43FF" w:rsidRDefault="004C0A21" w:rsidP="001B43FF">
      <w:pPr>
        <w:rPr>
          <w:rFonts w:ascii="Calibri" w:hAnsi="Calibri" w:cs="Calibri"/>
          <w:sz w:val="22"/>
          <w:szCs w:val="22"/>
        </w:rPr>
      </w:pPr>
      <w:r>
        <w:rPr>
          <w:rFonts w:ascii="Calibri" w:hAnsi="Calibri"/>
          <w:sz w:val="22"/>
        </w:rPr>
        <w:t xml:space="preserve">Cameo P6 es un foco profile a todo color basado en un LED RGBACL (RGB + ámbar + cian + lima) de 600 vatios que utiliza un sistema de mezcla de colores calibrado de alta precisión (tecnología XColour) desarrollado en Alemania. Su </w:t>
      </w:r>
      <w:r w:rsidR="00F82D9C" w:rsidRPr="008B6ECE">
        <w:rPr>
          <w:rFonts w:ascii="Calibri" w:hAnsi="Calibri"/>
          <w:sz w:val="22"/>
          <w:szCs w:val="22"/>
        </w:rPr>
        <w:t>elevado CRI de 9</w:t>
      </w:r>
      <w:r w:rsidR="00EE3D86" w:rsidRPr="008B6ECE">
        <w:rPr>
          <w:rFonts w:ascii="Calibri" w:hAnsi="Calibri"/>
          <w:sz w:val="22"/>
          <w:szCs w:val="22"/>
        </w:rPr>
        <w:t>8</w:t>
      </w:r>
      <w:r w:rsidR="00F82D9C" w:rsidRPr="008B6ECE">
        <w:rPr>
          <w:rFonts w:ascii="Calibri" w:hAnsi="Calibri"/>
          <w:sz w:val="22"/>
          <w:szCs w:val="22"/>
        </w:rPr>
        <w:t xml:space="preserve"> Ra </w:t>
      </w:r>
      <w:r w:rsidR="00EE3D86" w:rsidRPr="008B6ECE">
        <w:rPr>
          <w:rFonts w:ascii="Calibri" w:hAnsi="Calibri"/>
          <w:sz w:val="22"/>
          <w:szCs w:val="22"/>
        </w:rPr>
        <w:t xml:space="preserve">(@5.600K) </w:t>
      </w:r>
      <w:r w:rsidR="00F82D9C" w:rsidRPr="008B6ECE">
        <w:rPr>
          <w:rFonts w:ascii="Calibri" w:hAnsi="Calibri"/>
          <w:sz w:val="22"/>
          <w:szCs w:val="22"/>
        </w:rPr>
        <w:t>y un valor TLCI de 9</w:t>
      </w:r>
      <w:r w:rsidR="008B6ECE" w:rsidRPr="008B6ECE">
        <w:rPr>
          <w:rFonts w:ascii="Calibri" w:hAnsi="Calibri"/>
          <w:sz w:val="22"/>
          <w:szCs w:val="22"/>
        </w:rPr>
        <w:t xml:space="preserve">4 </w:t>
      </w:r>
      <w:r w:rsidR="008B6ECE" w:rsidRPr="008B6ECE">
        <w:rPr>
          <w:rFonts w:ascii="Calibri" w:hAnsi="Calibri" w:cs="Calibri"/>
          <w:sz w:val="22"/>
          <w:szCs w:val="22"/>
        </w:rPr>
        <w:t>(@5400K</w:t>
      </w:r>
      <w:r w:rsidR="008B6ECE">
        <w:rPr>
          <w:rFonts w:ascii="Calibri" w:hAnsi="Calibri" w:cs="Calibri"/>
          <w:sz w:val="22"/>
          <w:szCs w:val="22"/>
        </w:rPr>
        <w:t>)</w:t>
      </w:r>
      <w:r w:rsidR="008B6ECE" w:rsidRPr="001B43FF">
        <w:rPr>
          <w:rFonts w:ascii="Calibri" w:hAnsi="Calibri" w:cs="Calibri"/>
          <w:sz w:val="22"/>
          <w:szCs w:val="22"/>
        </w:rPr>
        <w:t xml:space="preserve"> </w:t>
      </w:r>
      <w:r>
        <w:rPr>
          <w:rFonts w:ascii="Calibri" w:hAnsi="Calibri"/>
          <w:sz w:val="22"/>
        </w:rPr>
        <w:t>garantizan que la iluminación de las personas y los objetos sea siempre impecable, con colores definidos y dinámicos. En la gama de luz blanca, la temperatura de color de P6 se puede ajustar de forma continua entre 1.800 K y 10.000 K. Las múltiples propiedades cromáticas del nuevo y avanzado foco profile de Cameo lo convierten en una opción universal para teatros y otros recintos de eventos.</w:t>
      </w:r>
    </w:p>
    <w:p w14:paraId="2EF02DAB" w14:textId="1713626F" w:rsidR="000D3E22" w:rsidRPr="001B43FF" w:rsidRDefault="000D3E22" w:rsidP="001B43FF">
      <w:pPr>
        <w:rPr>
          <w:rFonts w:ascii="Calibri" w:hAnsi="Calibri" w:cs="Calibri"/>
          <w:sz w:val="22"/>
          <w:szCs w:val="22"/>
        </w:rPr>
      </w:pPr>
    </w:p>
    <w:p w14:paraId="2C94238E" w14:textId="15CA8D7A" w:rsidR="00E25021" w:rsidRPr="001B43FF" w:rsidRDefault="00281D08" w:rsidP="00E25021">
      <w:pPr>
        <w:rPr>
          <w:rFonts w:ascii="Calibri" w:hAnsi="Calibri" w:cs="Calibri"/>
          <w:sz w:val="22"/>
          <w:szCs w:val="22"/>
        </w:rPr>
      </w:pPr>
      <w:r>
        <w:rPr>
          <w:rFonts w:ascii="Calibri" w:hAnsi="Calibri"/>
          <w:sz w:val="22"/>
        </w:rPr>
        <w:t>El foco LED profile P6 dispone de un zoom con un rango de 5° a 50° para adaptar con total flexibilidad su potente luz a las distintas necesidades escénicas. Una característica destacable es el sistema de encuadre de 4 cuchillas con rotación de 360°, que ofrece un amplio abanico de opciones creativas para modelar la luz en combinación con el zoom y el filtro difusor integrado variable de forma continua. También pueden añadirse unos soportes opcionales de iris y gobos mediante un sistema de ranuras. Cameo ofrece un soporte de montaje opcional para poder utilizarlo como foco de seguimiento y ha diseñado el foco P6 de forma que todos los ajustes puedan realizarse manualmente en el equipo, si es necesario, para poder seguir utilizando procesos de trabajo conocidos.</w:t>
      </w:r>
    </w:p>
    <w:p w14:paraId="4100BB19" w14:textId="10A10CBA" w:rsidR="0051256F" w:rsidRPr="001B43FF" w:rsidRDefault="0051256F" w:rsidP="001B43FF">
      <w:pPr>
        <w:rPr>
          <w:rFonts w:ascii="Calibri" w:hAnsi="Calibri" w:cs="Calibri"/>
          <w:sz w:val="22"/>
          <w:szCs w:val="22"/>
        </w:rPr>
      </w:pPr>
    </w:p>
    <w:p w14:paraId="704E2A95" w14:textId="1F2E30E9" w:rsidR="00E25021" w:rsidRDefault="00787082" w:rsidP="001B43FF">
      <w:pPr>
        <w:rPr>
          <w:rFonts w:ascii="Calibri" w:hAnsi="Calibri" w:cs="Calibri"/>
          <w:sz w:val="22"/>
          <w:szCs w:val="22"/>
        </w:rPr>
      </w:pPr>
      <w:r>
        <w:rPr>
          <w:rFonts w:ascii="Calibri" w:hAnsi="Calibri"/>
          <w:sz w:val="22"/>
        </w:rPr>
        <w:t xml:space="preserve">Con una vida útil del LED de </w:t>
      </w:r>
      <w:r w:rsidRPr="008B6ECE">
        <w:rPr>
          <w:rFonts w:ascii="Calibri" w:hAnsi="Calibri"/>
          <w:sz w:val="22"/>
        </w:rPr>
        <w:t xml:space="preserve">aproximadamente </w:t>
      </w:r>
      <w:r w:rsidRPr="008B6ECE">
        <w:rPr>
          <w:rFonts w:ascii="Calibri" w:hAnsi="Calibri"/>
          <w:sz w:val="22"/>
          <w:szCs w:val="22"/>
        </w:rPr>
        <w:t>50.000 horas</w:t>
      </w:r>
      <w:r w:rsidRPr="008B6ECE">
        <w:rPr>
          <w:rFonts w:ascii="Calibri" w:hAnsi="Calibri"/>
          <w:sz w:val="22"/>
        </w:rPr>
        <w:t xml:space="preserve"> y</w:t>
      </w:r>
      <w:r>
        <w:rPr>
          <w:rFonts w:ascii="Calibri" w:hAnsi="Calibri"/>
          <w:sz w:val="22"/>
        </w:rPr>
        <w:t xml:space="preserve"> un consumo de energía significativamente inferior al de los convencionales focos profile halógenos de 2,5 kW, el foco P6 es una solución de iluminación preparada para el futuro. Esto no solo contribuye a reducir los costes energéticos y el impacto medioambiental, sino que también se ajusta al Pacto Verde Europeo (cuyo objetivo es alcanzar la neutralidad climática para 2050) y al cumplimiento de los requisitos sobre diseño ecológico aplicables a los productos de iluminación en la Unión Europea. </w:t>
      </w:r>
    </w:p>
    <w:p w14:paraId="67893431" w14:textId="77777777" w:rsidR="008B05E9" w:rsidRPr="001B43FF" w:rsidRDefault="008B05E9" w:rsidP="001B43FF">
      <w:pPr>
        <w:rPr>
          <w:rFonts w:ascii="Calibri" w:hAnsi="Calibri" w:cs="Calibri"/>
          <w:sz w:val="22"/>
          <w:szCs w:val="22"/>
        </w:rPr>
      </w:pPr>
    </w:p>
    <w:p w14:paraId="54129869" w14:textId="052A0E4B" w:rsidR="008B05E9" w:rsidRPr="001B43FF" w:rsidRDefault="00AA2C24" w:rsidP="001B43FF">
      <w:pPr>
        <w:rPr>
          <w:rFonts w:ascii="Calibri" w:hAnsi="Calibri" w:cs="Calibri"/>
          <w:b/>
          <w:bCs/>
          <w:sz w:val="22"/>
          <w:szCs w:val="22"/>
        </w:rPr>
      </w:pPr>
      <w:r>
        <w:rPr>
          <w:rFonts w:ascii="Calibri" w:hAnsi="Calibri"/>
          <w:b/>
          <w:sz w:val="22"/>
        </w:rPr>
        <w:t>Serie P de Cameo</w:t>
      </w:r>
    </w:p>
    <w:p w14:paraId="46640FC3" w14:textId="13178721" w:rsidR="008B05E9" w:rsidRPr="001B43FF" w:rsidRDefault="006C1EA0" w:rsidP="001B43FF">
      <w:pPr>
        <w:rPr>
          <w:rFonts w:ascii="Calibri" w:hAnsi="Calibri" w:cs="Calibri"/>
          <w:sz w:val="22"/>
          <w:szCs w:val="22"/>
        </w:rPr>
      </w:pPr>
      <w:r>
        <w:rPr>
          <w:rFonts w:ascii="Calibri" w:hAnsi="Calibri"/>
          <w:sz w:val="22"/>
        </w:rPr>
        <w:t xml:space="preserve">Ya sea en el escenario de un teatro, ante una cámara de televisión o en el escenario de un evento, las personas y los objetos deben estar siempre perfectamente iluminados para ofrecer a los espectadores y a </w:t>
      </w:r>
      <w:r>
        <w:rPr>
          <w:rFonts w:ascii="Calibri" w:hAnsi="Calibri"/>
          <w:sz w:val="22"/>
        </w:rPr>
        <w:lastRenderedPageBreak/>
        <w:t xml:space="preserve">las cámaras una imagen perfecta de la acción. Para satisfacer las necesidades de los diseñadores de iluminación, directores, agencias, artistas y directores de empresa en cualquier situación, Cameo ha desarrollado la serie P de focos profile LED para los sectores profesionales del teatro, la televisión y los eventos. </w:t>
      </w:r>
      <w:r>
        <w:rPr>
          <w:rFonts w:ascii="Calibri" w:hAnsi="Calibri"/>
          <w:color w:val="0D0D0D" w:themeColor="text1" w:themeTint="F2"/>
          <w:sz w:val="22"/>
          <w:bdr w:val="none" w:sz="0" w:space="0" w:color="auto" w:frame="1"/>
        </w:rPr>
        <w:t>Además del modelo P6 de gama alta</w:t>
      </w:r>
      <w:r>
        <w:rPr>
          <w:rFonts w:ascii="Calibri" w:hAnsi="Calibri"/>
          <w:sz w:val="22"/>
        </w:rPr>
        <w:t xml:space="preserve">, la serie P incluye los modelos P2 T (tungsteno, 3.200 K), P2 D (luz diurna, 5.600 K) y P2 FC (todo color, RGBAL), que son un sustituto perfecto de los anteriores focos de perfil de 1 kW. </w:t>
      </w:r>
    </w:p>
    <w:p w14:paraId="1E22A03A" w14:textId="316996C1" w:rsidR="00EC60C2" w:rsidRPr="001B43FF" w:rsidRDefault="00EC60C2" w:rsidP="001B43FF">
      <w:pPr>
        <w:rPr>
          <w:rFonts w:ascii="Calibri" w:hAnsi="Calibri" w:cs="Calibri"/>
          <w:color w:val="000000" w:themeColor="text1"/>
          <w:sz w:val="22"/>
          <w:szCs w:val="22"/>
        </w:rPr>
      </w:pPr>
    </w:p>
    <w:p w14:paraId="3AC9411B" w14:textId="44188256" w:rsidR="00EC60C2" w:rsidRPr="001B43FF" w:rsidRDefault="00006FFC" w:rsidP="001B43FF">
      <w:pPr>
        <w:rPr>
          <w:rFonts w:ascii="Calibri" w:hAnsi="Calibri" w:cs="Calibri"/>
          <w:color w:val="000000" w:themeColor="text1"/>
          <w:sz w:val="22"/>
          <w:szCs w:val="22"/>
          <w:shd w:val="clear" w:color="auto" w:fill="FFFFFF"/>
        </w:rPr>
      </w:pPr>
      <w:r>
        <w:rPr>
          <w:rFonts w:ascii="Calibri" w:hAnsi="Calibri"/>
          <w:color w:val="000000" w:themeColor="text1"/>
          <w:sz w:val="22"/>
          <w:shd w:val="clear" w:color="auto" w:fill="FFFFFF"/>
        </w:rPr>
        <w:t>El foco P6 de Cameo estará disponible en el segundo trimestre de 2025.</w:t>
      </w:r>
    </w:p>
    <w:p w14:paraId="236E62B2" w14:textId="77777777" w:rsidR="00CC419B" w:rsidRPr="001B43FF" w:rsidRDefault="00CC419B" w:rsidP="001B43FF">
      <w:pPr>
        <w:rPr>
          <w:rFonts w:ascii="Calibri" w:hAnsi="Calibri" w:cs="Calibri"/>
          <w:color w:val="000000" w:themeColor="text1"/>
          <w:sz w:val="22"/>
          <w:szCs w:val="22"/>
        </w:rPr>
      </w:pPr>
    </w:p>
    <w:p w14:paraId="3671C46F" w14:textId="729D01CF" w:rsidR="003A6419" w:rsidRPr="001B43FF" w:rsidRDefault="00A523EA" w:rsidP="001B43FF">
      <w:pPr>
        <w:pStyle w:val="KeinLeerraum"/>
        <w:rPr>
          <w:rFonts w:ascii="Calibri" w:hAnsi="Calibri" w:cs="Calibri"/>
          <w:color w:val="000000" w:themeColor="text1"/>
          <w:sz w:val="22"/>
          <w:szCs w:val="22"/>
        </w:rPr>
      </w:pPr>
      <w:r>
        <w:rPr>
          <w:rFonts w:ascii="Calibri" w:hAnsi="Calibri"/>
          <w:sz w:val="22"/>
        </w:rPr>
        <w:t xml:space="preserve">#Cameo #ForLumenBeings </w:t>
      </w:r>
      <w:r w:rsidRPr="001B43FF">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1B43FF" w:rsidRDefault="00A523EA" w:rsidP="001B43FF">
      <w:pPr>
        <w:pStyle w:val="KeinLeerraum"/>
        <w:rPr>
          <w:rFonts w:ascii="Calibri" w:hAnsi="Calibri" w:cs="Calibri"/>
          <w:color w:val="0D0D0D" w:themeColor="text1" w:themeTint="F2"/>
          <w:sz w:val="22"/>
          <w:szCs w:val="22"/>
          <w:highlight w:val="yellow"/>
        </w:rPr>
      </w:pPr>
    </w:p>
    <w:p w14:paraId="45899D35" w14:textId="24899B17" w:rsidR="00E05A29" w:rsidRPr="001B43FF" w:rsidRDefault="006D2E7A" w:rsidP="001B43FF">
      <w:pPr>
        <w:rPr>
          <w:rStyle w:val="Hyperlink"/>
          <w:rFonts w:ascii="Calibri" w:hAnsi="Calibri" w:cs="Calibri"/>
          <w:sz w:val="22"/>
          <w:szCs w:val="22"/>
        </w:rPr>
      </w:pPr>
      <w:r>
        <w:rPr>
          <w:rFonts w:ascii="Calibri" w:hAnsi="Calibri"/>
          <w:b/>
          <w:sz w:val="22"/>
        </w:rPr>
        <w:t xml:space="preserve">Más información en: </w:t>
      </w:r>
    </w:p>
    <w:p w14:paraId="69E1E3FD" w14:textId="0C35DF92" w:rsidR="004F3D40" w:rsidRPr="001B43FF" w:rsidRDefault="00426F28" w:rsidP="001B43FF">
      <w:pPr>
        <w:rPr>
          <w:rStyle w:val="Hyperlink"/>
          <w:rFonts w:ascii="Calibri" w:eastAsia="Arial" w:hAnsi="Calibri" w:cs="Calibri"/>
          <w:sz w:val="22"/>
          <w:szCs w:val="22"/>
        </w:rPr>
      </w:pPr>
      <w:hyperlink r:id="rId10" w:history="1">
        <w:r>
          <w:rPr>
            <w:rStyle w:val="Hyperlink"/>
            <w:rFonts w:ascii="Calibri" w:hAnsi="Calibri"/>
            <w:sz w:val="22"/>
          </w:rPr>
          <w:t>cameolight.com/p6profile</w:t>
        </w:r>
      </w:hyperlink>
    </w:p>
    <w:p w14:paraId="579C3CBA" w14:textId="77777777" w:rsidR="004F3D40" w:rsidRPr="001B43FF" w:rsidRDefault="004F3D40" w:rsidP="001B43FF">
      <w:pPr>
        <w:rPr>
          <w:rFonts w:ascii="Calibri" w:hAnsi="Calibri" w:cs="Calibri"/>
          <w:b/>
          <w:sz w:val="22"/>
          <w:szCs w:val="22"/>
        </w:rPr>
      </w:pPr>
    </w:p>
    <w:p w14:paraId="00077636" w14:textId="77B75F63" w:rsidR="004F3D40" w:rsidRPr="001B43FF" w:rsidRDefault="00426F28" w:rsidP="001B43FF">
      <w:pPr>
        <w:rPr>
          <w:rStyle w:val="Hyperlink"/>
          <w:rFonts w:ascii="Calibri" w:eastAsia="Arial" w:hAnsi="Calibri" w:cs="Calibri"/>
          <w:b/>
          <w:bCs/>
          <w:color w:val="auto"/>
          <w:sz w:val="22"/>
          <w:szCs w:val="22"/>
          <w:u w:val="none"/>
        </w:rPr>
      </w:pPr>
      <w:hyperlink r:id="rId11" w:history="1">
        <w:r>
          <w:rPr>
            <w:rStyle w:val="Hyperlink"/>
            <w:rFonts w:ascii="Calibri" w:hAnsi="Calibri"/>
            <w:sz w:val="22"/>
          </w:rPr>
          <w:t>adamhall.com</w:t>
        </w:r>
      </w:hyperlink>
      <w:r w:rsidR="004F3D40" w:rsidRPr="001B43FF">
        <w:rPr>
          <w:rFonts w:ascii="Calibri" w:hAnsi="Calibri"/>
          <w:sz w:val="22"/>
          <w:szCs w:val="22"/>
          <w:u w:val="single"/>
        </w:rPr>
        <w:br/>
      </w:r>
      <w:hyperlink r:id="rId12" w:history="1">
        <w:r>
          <w:rPr>
            <w:rStyle w:val="Hyperlink"/>
            <w:rFonts w:ascii="Calibri" w:hAnsi="Calibri"/>
            <w:sz w:val="22"/>
          </w:rPr>
          <w:t>blog.adamhall.com</w:t>
        </w:r>
      </w:hyperlink>
    </w:p>
    <w:p w14:paraId="2BB1391F" w14:textId="77777777" w:rsidR="00780A4D" w:rsidRPr="001B43FF" w:rsidRDefault="00780A4D" w:rsidP="00E05A29">
      <w:pPr>
        <w:rPr>
          <w:rStyle w:val="Hyperlink"/>
          <w:rFonts w:ascii="Calibri" w:eastAsia="Arial" w:hAnsi="Calibri"/>
          <w:sz w:val="22"/>
        </w:rPr>
      </w:pPr>
    </w:p>
    <w:p w14:paraId="3665D47E" w14:textId="77777777" w:rsidR="00D92B04" w:rsidRPr="001B43FF" w:rsidRDefault="00D92B04" w:rsidP="00676DEF">
      <w:pPr>
        <w:pStyle w:val="KeinLeerraum"/>
        <w:rPr>
          <w:rFonts w:ascii="Calibri" w:hAnsi="Calibri"/>
          <w:b/>
          <w:color w:val="808080"/>
          <w:sz w:val="18"/>
        </w:rPr>
      </w:pPr>
      <w:r>
        <w:rPr>
          <w:rFonts w:ascii="Calibri" w:hAnsi="Calibri"/>
          <w:b/>
          <w:color w:val="808080"/>
          <w:sz w:val="18"/>
        </w:rPr>
        <w:t>Acerca de Adam Hall Group</w:t>
      </w:r>
    </w:p>
    <w:p w14:paraId="7B95A4C9" w14:textId="77777777" w:rsidR="00D92B04" w:rsidRPr="001B43FF" w:rsidRDefault="00D92B04" w:rsidP="00D92B04">
      <w:pPr>
        <w:pStyle w:val="KeinLeerraum"/>
        <w:rPr>
          <w:rFonts w:ascii="Calibri" w:hAnsi="Calibri"/>
          <w:color w:val="808080" w:themeColor="background1" w:themeShade="80"/>
          <w:sz w:val="18"/>
        </w:rPr>
      </w:pPr>
      <w:r>
        <w:rPr>
          <w:rFonts w:ascii="Calibri" w:hAnsi="Calibri"/>
          <w:color w:val="808080"/>
          <w:sz w:val="18"/>
        </w:rPr>
        <w:t>Adam Hall Group es un destacado fabricante y distribuidor alemán que ofrece soluciones de tecnología de eventos para clientes comerciales en todo el mundo. Su público objetivo incluye, entre otros, a minoristas, distribuidores B2B, empresas de alquiler y organización de eventos, estudios de televisión, integradores audiovisuales y de sistemas, empresas tanto privadas como públicas y fabricantes de flightcases industriales. Bajo sus marcas propias</w:t>
      </w:r>
      <w:r w:rsidRPr="001B43FF">
        <w:rPr>
          <w:rFonts w:ascii="Calibri" w:hAnsi="Calibri"/>
          <w:b/>
          <w:color w:val="808080"/>
          <w:sz w:val="18"/>
        </w:rPr>
        <w:t xml:space="preserve"> LD Systems®, Cameo®, Gravity®, Defender®, Palmer® y Adam Hall®</w:t>
      </w:r>
      <w:r>
        <w:rPr>
          <w:rFonts w:ascii="Calibri" w:hAnsi="Calibri"/>
          <w:color w:val="808080"/>
          <w:sz w:val="18"/>
        </w:rPr>
        <w:t xml:space="preserve">, la empresa distribuye una amplia gama de equipos profesionales de audio e iluminación, así como accesorios para escenario y hardware para flightcases. Desde su fundación en 1975, Adam Hall Group se ha convertido en una empresa moderna e innovadora especializada en el sector de tecnología de eventos y dispone de un centro logístico con un almacén de más de 14.000 metros cuadrados próximo a su sede corporativa, no lejos de Fráncfort del Meno (Alemania). Gracias a su enfoque en la creación de valor y en el servicio que presta, Adam Hall Group ya cuenta con toda una serie de premios internacionales concedidos por sus desarrollos innovadores y diseños pioneros por parte de diversas instituciones de prestigio tales como Red Dot, German Design Award e iF Industrie Forum Design. En colaboración con la agencia de diseño F. A. Porsche, LD Systems® anticipa el futuro del diseño de audio profesional con su emblemática columna de altavoces MAUI® P900 y ha sido reconocido recientemente por ello con el codiciado premio German Design Award. Más información sobre Adam Hall Group en el sitio web </w:t>
      </w:r>
      <w:hyperlink r:id="rId13">
        <w:r>
          <w:rPr>
            <w:rStyle w:val="Hyperlink"/>
            <w:rFonts w:ascii="Calibri" w:hAnsi="Calibri"/>
            <w:sz w:val="18"/>
            <w:u w:val="none"/>
          </w:rPr>
          <w:t>www.adamhall.com</w:t>
        </w:r>
      </w:hyperlink>
      <w:r w:rsidRPr="001B43FF">
        <w:rPr>
          <w:rFonts w:ascii="Calibri" w:hAnsi="Calibri"/>
          <w:color w:val="808080" w:themeColor="background1" w:themeShade="80"/>
          <w:sz w:val="18"/>
        </w:rPr>
        <w:t>.</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7159BB" w:rsidRPr="001B43FF" w14:paraId="1FDFC68A" w14:textId="77777777" w:rsidTr="007159BB">
        <w:tc>
          <w:tcPr>
            <w:tcW w:w="956" w:type="dxa"/>
            <w:tcBorders>
              <w:top w:val="single" w:sz="8" w:space="0" w:color="FFFFFF"/>
              <w:left w:val="single" w:sz="8" w:space="0" w:color="FFFFFF"/>
              <w:bottom w:val="single" w:sz="8" w:space="0" w:color="FFFFFF"/>
              <w:right w:val="nil"/>
            </w:tcBorders>
          </w:tcPr>
          <w:p w14:paraId="1BAD2A28" w14:textId="77777777" w:rsidR="007159BB" w:rsidRPr="001B43FF" w:rsidRDefault="007159BB" w:rsidP="00583A74">
            <w:pPr>
              <w:rPr>
                <w:rFonts w:ascii="Calibri" w:hAnsi="Calibri"/>
                <w:color w:val="808080"/>
                <w:sz w:val="18"/>
              </w:rPr>
            </w:pPr>
          </w:p>
        </w:tc>
        <w:tc>
          <w:tcPr>
            <w:tcW w:w="3092" w:type="dxa"/>
            <w:tcBorders>
              <w:top w:val="single" w:sz="8" w:space="0" w:color="FFFFFF"/>
              <w:left w:val="single" w:sz="8" w:space="0" w:color="FFFFFF"/>
              <w:bottom w:val="single" w:sz="8" w:space="0" w:color="FFFFFF"/>
              <w:right w:val="single" w:sz="8" w:space="0" w:color="FFFFFF"/>
            </w:tcBorders>
          </w:tcPr>
          <w:p w14:paraId="5D36F19C" w14:textId="77777777" w:rsidR="007159BB" w:rsidRPr="001B43FF" w:rsidRDefault="007159BB" w:rsidP="00870A92">
            <w:pPr>
              <w:pStyle w:val="KeinLeerraum"/>
            </w:pPr>
          </w:p>
        </w:tc>
      </w:tr>
      <w:tr w:rsidR="004330C6" w:rsidRPr="001B43FF" w14:paraId="33836686" w14:textId="77777777" w:rsidTr="007159BB">
        <w:tc>
          <w:tcPr>
            <w:tcW w:w="956" w:type="dxa"/>
            <w:tcBorders>
              <w:top w:val="nil"/>
              <w:left w:val="single" w:sz="8" w:space="0" w:color="FFFFFF"/>
              <w:bottom w:val="single" w:sz="8" w:space="0" w:color="FFFFFF"/>
              <w:right w:val="nil"/>
            </w:tcBorders>
          </w:tcPr>
          <w:p w14:paraId="66D05FF1" w14:textId="77777777" w:rsidR="004330C6" w:rsidRPr="001B43FF" w:rsidRDefault="004330C6" w:rsidP="007159BB">
            <w:pPr>
              <w:pStyle w:val="KeinLeerraum"/>
              <w:rPr>
                <w:rFonts w:ascii="Calibri" w:hAnsi="Calibri"/>
                <w:color w:val="808080"/>
              </w:rPr>
            </w:pPr>
          </w:p>
        </w:tc>
        <w:tc>
          <w:tcPr>
            <w:tcW w:w="3092" w:type="dxa"/>
            <w:tcBorders>
              <w:top w:val="nil"/>
              <w:left w:val="single" w:sz="8" w:space="0" w:color="FFFFFF"/>
              <w:bottom w:val="single" w:sz="8" w:space="0" w:color="FFFFFF"/>
              <w:right w:val="single" w:sz="8" w:space="0" w:color="FFFFFF"/>
            </w:tcBorders>
          </w:tcPr>
          <w:p w14:paraId="62FD8926" w14:textId="77777777" w:rsidR="004330C6" w:rsidRPr="001B43FF" w:rsidRDefault="004330C6" w:rsidP="00C735C0">
            <w:pPr>
              <w:pStyle w:val="KeinLeerraum"/>
              <w:ind w:left="142"/>
              <w:rPr>
                <w:rFonts w:ascii="Calibri" w:hAnsi="Calibri"/>
                <w:color w:val="808080"/>
              </w:rPr>
            </w:pPr>
          </w:p>
        </w:tc>
      </w:tr>
    </w:tbl>
    <w:p w14:paraId="5300F5D9" w14:textId="77777777" w:rsidR="000C2D39" w:rsidRPr="001B43FF" w:rsidRDefault="000C2D39" w:rsidP="0046543C">
      <w:pPr>
        <w:rPr>
          <w:rFonts w:ascii="Arial" w:hAnsi="Arial"/>
          <w:sz w:val="20"/>
        </w:rPr>
      </w:pPr>
    </w:p>
    <w:sectPr w:rsidR="000C2D39" w:rsidRPr="001B43FF"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3994B" w14:textId="77777777" w:rsidR="00543DBB" w:rsidRDefault="00543DBB" w:rsidP="004330C6">
      <w:r>
        <w:separator/>
      </w:r>
    </w:p>
  </w:endnote>
  <w:endnote w:type="continuationSeparator" w:id="0">
    <w:p w14:paraId="3B77F7FC" w14:textId="77777777" w:rsidR="00543DBB" w:rsidRDefault="00543DBB" w:rsidP="004330C6">
      <w:r>
        <w:continuationSeparator/>
      </w:r>
    </w:p>
  </w:endnote>
  <w:endnote w:type="continuationNotice" w:id="1">
    <w:p w14:paraId="08FFDAAB" w14:textId="77777777" w:rsidR="00543DBB" w:rsidRDefault="00543D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658FB" w14:textId="77777777" w:rsidR="00543DBB" w:rsidRDefault="00543DBB" w:rsidP="004330C6">
      <w:r>
        <w:separator/>
      </w:r>
    </w:p>
  </w:footnote>
  <w:footnote w:type="continuationSeparator" w:id="0">
    <w:p w14:paraId="5223A77E" w14:textId="77777777" w:rsidR="00543DBB" w:rsidRDefault="00543DBB" w:rsidP="004330C6">
      <w:r>
        <w:continuationSeparator/>
      </w:r>
    </w:p>
  </w:footnote>
  <w:footnote w:type="continuationNotice" w:id="1">
    <w:p w14:paraId="1332582B" w14:textId="77777777" w:rsidR="00543DBB" w:rsidRDefault="00543D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1B23D5"/>
    <w:multiLevelType w:val="multilevel"/>
    <w:tmpl w:val="D4A20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81458537">
    <w:abstractNumId w:val="1"/>
  </w:num>
  <w:num w:numId="2" w16cid:durableId="2097171788">
    <w:abstractNumId w:val="15"/>
  </w:num>
  <w:num w:numId="3" w16cid:durableId="37970455">
    <w:abstractNumId w:val="9"/>
  </w:num>
  <w:num w:numId="4" w16cid:durableId="1870297980">
    <w:abstractNumId w:val="18"/>
  </w:num>
  <w:num w:numId="5" w16cid:durableId="2079932367">
    <w:abstractNumId w:val="6"/>
  </w:num>
  <w:num w:numId="6" w16cid:durableId="489978929">
    <w:abstractNumId w:val="7"/>
  </w:num>
  <w:num w:numId="7" w16cid:durableId="581061159">
    <w:abstractNumId w:val="20"/>
  </w:num>
  <w:num w:numId="8" w16cid:durableId="584385435">
    <w:abstractNumId w:val="8"/>
  </w:num>
  <w:num w:numId="9" w16cid:durableId="364713383">
    <w:abstractNumId w:val="19"/>
  </w:num>
  <w:num w:numId="10" w16cid:durableId="1868980349">
    <w:abstractNumId w:val="3"/>
  </w:num>
  <w:num w:numId="11" w16cid:durableId="102462025">
    <w:abstractNumId w:val="16"/>
  </w:num>
  <w:num w:numId="12" w16cid:durableId="2012639929">
    <w:abstractNumId w:val="11"/>
  </w:num>
  <w:num w:numId="13" w16cid:durableId="987634638">
    <w:abstractNumId w:val="21"/>
  </w:num>
  <w:num w:numId="14" w16cid:durableId="1871214495">
    <w:abstractNumId w:val="0"/>
  </w:num>
  <w:num w:numId="15" w16cid:durableId="947471033">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6" w16cid:durableId="1223829836">
    <w:abstractNumId w:val="10"/>
  </w:num>
  <w:num w:numId="17" w16cid:durableId="1206409334">
    <w:abstractNumId w:val="2"/>
  </w:num>
  <w:num w:numId="18" w16cid:durableId="1061292981">
    <w:abstractNumId w:val="17"/>
  </w:num>
  <w:num w:numId="19" w16cid:durableId="294993118">
    <w:abstractNumId w:val="4"/>
  </w:num>
  <w:num w:numId="20" w16cid:durableId="1162234756">
    <w:abstractNumId w:val="12"/>
  </w:num>
  <w:num w:numId="21" w16cid:durableId="1811634811">
    <w:abstractNumId w:val="13"/>
  </w:num>
  <w:num w:numId="22" w16cid:durableId="4711397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45"/>
    <w:rsid w:val="00006212"/>
    <w:rsid w:val="00006FFC"/>
    <w:rsid w:val="00010D62"/>
    <w:rsid w:val="00012478"/>
    <w:rsid w:val="0001272F"/>
    <w:rsid w:val="00013EB1"/>
    <w:rsid w:val="00016A96"/>
    <w:rsid w:val="0002119C"/>
    <w:rsid w:val="000264B5"/>
    <w:rsid w:val="00027BDD"/>
    <w:rsid w:val="000310C8"/>
    <w:rsid w:val="00031E80"/>
    <w:rsid w:val="000347EC"/>
    <w:rsid w:val="000374EE"/>
    <w:rsid w:val="00042DFF"/>
    <w:rsid w:val="0005069C"/>
    <w:rsid w:val="000619FA"/>
    <w:rsid w:val="00065525"/>
    <w:rsid w:val="00066B40"/>
    <w:rsid w:val="000818EA"/>
    <w:rsid w:val="000824BC"/>
    <w:rsid w:val="00086C2C"/>
    <w:rsid w:val="000915D6"/>
    <w:rsid w:val="00092E57"/>
    <w:rsid w:val="00093AB0"/>
    <w:rsid w:val="00094AE6"/>
    <w:rsid w:val="000A5344"/>
    <w:rsid w:val="000B5654"/>
    <w:rsid w:val="000B5B45"/>
    <w:rsid w:val="000C0ACF"/>
    <w:rsid w:val="000C2D39"/>
    <w:rsid w:val="000C39BF"/>
    <w:rsid w:val="000C5BAB"/>
    <w:rsid w:val="000C6A86"/>
    <w:rsid w:val="000D3E22"/>
    <w:rsid w:val="000E3EBF"/>
    <w:rsid w:val="00111329"/>
    <w:rsid w:val="00114AF6"/>
    <w:rsid w:val="00117B88"/>
    <w:rsid w:val="00120233"/>
    <w:rsid w:val="001205C6"/>
    <w:rsid w:val="00124F49"/>
    <w:rsid w:val="00134EF8"/>
    <w:rsid w:val="00135BAE"/>
    <w:rsid w:val="00144CD0"/>
    <w:rsid w:val="001452D7"/>
    <w:rsid w:val="00145E8F"/>
    <w:rsid w:val="001543F7"/>
    <w:rsid w:val="00162DF3"/>
    <w:rsid w:val="00164685"/>
    <w:rsid w:val="00175DBD"/>
    <w:rsid w:val="00184D8B"/>
    <w:rsid w:val="001905C4"/>
    <w:rsid w:val="00190662"/>
    <w:rsid w:val="00197BE9"/>
    <w:rsid w:val="001A1584"/>
    <w:rsid w:val="001A27A0"/>
    <w:rsid w:val="001B0461"/>
    <w:rsid w:val="001B43FF"/>
    <w:rsid w:val="001B7E2C"/>
    <w:rsid w:val="001C15E9"/>
    <w:rsid w:val="001C56DA"/>
    <w:rsid w:val="001C5825"/>
    <w:rsid w:val="001C5D7F"/>
    <w:rsid w:val="001D3A0C"/>
    <w:rsid w:val="001D5E45"/>
    <w:rsid w:val="001D6B8D"/>
    <w:rsid w:val="001D6F99"/>
    <w:rsid w:val="001E0ED5"/>
    <w:rsid w:val="001E29E8"/>
    <w:rsid w:val="001E51CC"/>
    <w:rsid w:val="001E52C2"/>
    <w:rsid w:val="001E7D25"/>
    <w:rsid w:val="001F0E84"/>
    <w:rsid w:val="0020235E"/>
    <w:rsid w:val="002034DB"/>
    <w:rsid w:val="00205109"/>
    <w:rsid w:val="002072E5"/>
    <w:rsid w:val="00207525"/>
    <w:rsid w:val="002127F4"/>
    <w:rsid w:val="00214A26"/>
    <w:rsid w:val="00215123"/>
    <w:rsid w:val="00215360"/>
    <w:rsid w:val="002171CF"/>
    <w:rsid w:val="002176EA"/>
    <w:rsid w:val="00222A50"/>
    <w:rsid w:val="00223279"/>
    <w:rsid w:val="0022618A"/>
    <w:rsid w:val="00231201"/>
    <w:rsid w:val="002339BA"/>
    <w:rsid w:val="00243B58"/>
    <w:rsid w:val="0024709A"/>
    <w:rsid w:val="00247B14"/>
    <w:rsid w:val="00247EDB"/>
    <w:rsid w:val="00253E5A"/>
    <w:rsid w:val="00262160"/>
    <w:rsid w:val="0027394B"/>
    <w:rsid w:val="00273C12"/>
    <w:rsid w:val="00277367"/>
    <w:rsid w:val="00280E05"/>
    <w:rsid w:val="00281D08"/>
    <w:rsid w:val="00283958"/>
    <w:rsid w:val="00285810"/>
    <w:rsid w:val="00293710"/>
    <w:rsid w:val="002956B9"/>
    <w:rsid w:val="002978B2"/>
    <w:rsid w:val="002A71BC"/>
    <w:rsid w:val="002B1920"/>
    <w:rsid w:val="002B2157"/>
    <w:rsid w:val="002B2BC8"/>
    <w:rsid w:val="002B49DF"/>
    <w:rsid w:val="002B520A"/>
    <w:rsid w:val="002B7856"/>
    <w:rsid w:val="002C32D6"/>
    <w:rsid w:val="002C3433"/>
    <w:rsid w:val="002C5CC2"/>
    <w:rsid w:val="002D279A"/>
    <w:rsid w:val="002D3E93"/>
    <w:rsid w:val="002D4A1E"/>
    <w:rsid w:val="002E158A"/>
    <w:rsid w:val="00301970"/>
    <w:rsid w:val="00302508"/>
    <w:rsid w:val="003044AB"/>
    <w:rsid w:val="0030706D"/>
    <w:rsid w:val="00311FA5"/>
    <w:rsid w:val="00317208"/>
    <w:rsid w:val="00326656"/>
    <w:rsid w:val="00340CFE"/>
    <w:rsid w:val="0034539C"/>
    <w:rsid w:val="003458A7"/>
    <w:rsid w:val="003520A7"/>
    <w:rsid w:val="00354360"/>
    <w:rsid w:val="00354B5E"/>
    <w:rsid w:val="00362007"/>
    <w:rsid w:val="00362474"/>
    <w:rsid w:val="00364AA4"/>
    <w:rsid w:val="0036758E"/>
    <w:rsid w:val="003716B9"/>
    <w:rsid w:val="00371F2A"/>
    <w:rsid w:val="0037330B"/>
    <w:rsid w:val="0037421A"/>
    <w:rsid w:val="00374348"/>
    <w:rsid w:val="003817D3"/>
    <w:rsid w:val="003834DC"/>
    <w:rsid w:val="003864D6"/>
    <w:rsid w:val="00387F10"/>
    <w:rsid w:val="00391FEB"/>
    <w:rsid w:val="003920A4"/>
    <w:rsid w:val="003A3299"/>
    <w:rsid w:val="003A6419"/>
    <w:rsid w:val="003C3E9E"/>
    <w:rsid w:val="003C3F56"/>
    <w:rsid w:val="003C7650"/>
    <w:rsid w:val="003D51DC"/>
    <w:rsid w:val="003E4B2D"/>
    <w:rsid w:val="003E5409"/>
    <w:rsid w:val="003F6959"/>
    <w:rsid w:val="004037C1"/>
    <w:rsid w:val="00411C01"/>
    <w:rsid w:val="0042095F"/>
    <w:rsid w:val="00422766"/>
    <w:rsid w:val="00423486"/>
    <w:rsid w:val="00426F28"/>
    <w:rsid w:val="0042754C"/>
    <w:rsid w:val="00432C94"/>
    <w:rsid w:val="004330C6"/>
    <w:rsid w:val="00436349"/>
    <w:rsid w:val="0043686C"/>
    <w:rsid w:val="0043733D"/>
    <w:rsid w:val="00445DF3"/>
    <w:rsid w:val="0044676E"/>
    <w:rsid w:val="00447F0F"/>
    <w:rsid w:val="00454E7E"/>
    <w:rsid w:val="0045598C"/>
    <w:rsid w:val="004624FD"/>
    <w:rsid w:val="0046543C"/>
    <w:rsid w:val="00471643"/>
    <w:rsid w:val="00480081"/>
    <w:rsid w:val="004805B5"/>
    <w:rsid w:val="0048445A"/>
    <w:rsid w:val="0048479D"/>
    <w:rsid w:val="00485602"/>
    <w:rsid w:val="004858F2"/>
    <w:rsid w:val="0049229E"/>
    <w:rsid w:val="004968EC"/>
    <w:rsid w:val="004A4CA4"/>
    <w:rsid w:val="004A5441"/>
    <w:rsid w:val="004A559B"/>
    <w:rsid w:val="004A62CF"/>
    <w:rsid w:val="004B6B8C"/>
    <w:rsid w:val="004C0829"/>
    <w:rsid w:val="004C0A21"/>
    <w:rsid w:val="004C0B62"/>
    <w:rsid w:val="004D54E9"/>
    <w:rsid w:val="004E0536"/>
    <w:rsid w:val="004E1FF1"/>
    <w:rsid w:val="004E5409"/>
    <w:rsid w:val="004F3D40"/>
    <w:rsid w:val="004F5412"/>
    <w:rsid w:val="00504CD8"/>
    <w:rsid w:val="00507E4C"/>
    <w:rsid w:val="00511C7E"/>
    <w:rsid w:val="0051256F"/>
    <w:rsid w:val="00512A72"/>
    <w:rsid w:val="005208EC"/>
    <w:rsid w:val="005213E5"/>
    <w:rsid w:val="00532A65"/>
    <w:rsid w:val="00541386"/>
    <w:rsid w:val="0054267D"/>
    <w:rsid w:val="00543DBB"/>
    <w:rsid w:val="00546AE6"/>
    <w:rsid w:val="00556041"/>
    <w:rsid w:val="00563E2E"/>
    <w:rsid w:val="00567A8E"/>
    <w:rsid w:val="00570500"/>
    <w:rsid w:val="005744F5"/>
    <w:rsid w:val="00576210"/>
    <w:rsid w:val="0057690B"/>
    <w:rsid w:val="00577A2D"/>
    <w:rsid w:val="00580E0C"/>
    <w:rsid w:val="00583A74"/>
    <w:rsid w:val="005876FE"/>
    <w:rsid w:val="00587CCD"/>
    <w:rsid w:val="005A3823"/>
    <w:rsid w:val="005B235C"/>
    <w:rsid w:val="005B49DD"/>
    <w:rsid w:val="005B627E"/>
    <w:rsid w:val="005B7BB6"/>
    <w:rsid w:val="005C0807"/>
    <w:rsid w:val="005C3632"/>
    <w:rsid w:val="005C4A93"/>
    <w:rsid w:val="005D45A1"/>
    <w:rsid w:val="005E081F"/>
    <w:rsid w:val="005E37B4"/>
    <w:rsid w:val="005E6B2E"/>
    <w:rsid w:val="005E7EFE"/>
    <w:rsid w:val="005F0633"/>
    <w:rsid w:val="005F159C"/>
    <w:rsid w:val="005F2899"/>
    <w:rsid w:val="005F3FF6"/>
    <w:rsid w:val="005F48DD"/>
    <w:rsid w:val="00600743"/>
    <w:rsid w:val="00607BAB"/>
    <w:rsid w:val="00610CDC"/>
    <w:rsid w:val="0062219E"/>
    <w:rsid w:val="00625995"/>
    <w:rsid w:val="0063132F"/>
    <w:rsid w:val="00633CC0"/>
    <w:rsid w:val="00640BCD"/>
    <w:rsid w:val="00642DDD"/>
    <w:rsid w:val="00645AA1"/>
    <w:rsid w:val="00647C22"/>
    <w:rsid w:val="0065292F"/>
    <w:rsid w:val="00652A61"/>
    <w:rsid w:val="0066481D"/>
    <w:rsid w:val="00671046"/>
    <w:rsid w:val="00677D56"/>
    <w:rsid w:val="006811A8"/>
    <w:rsid w:val="00683F82"/>
    <w:rsid w:val="00691110"/>
    <w:rsid w:val="006A0E8D"/>
    <w:rsid w:val="006A2095"/>
    <w:rsid w:val="006A2793"/>
    <w:rsid w:val="006A4552"/>
    <w:rsid w:val="006A7EAF"/>
    <w:rsid w:val="006B41F5"/>
    <w:rsid w:val="006C1EA0"/>
    <w:rsid w:val="006C2544"/>
    <w:rsid w:val="006C2799"/>
    <w:rsid w:val="006C45CF"/>
    <w:rsid w:val="006D2E7A"/>
    <w:rsid w:val="006E2CFE"/>
    <w:rsid w:val="006E651F"/>
    <w:rsid w:val="006E767C"/>
    <w:rsid w:val="006F06DE"/>
    <w:rsid w:val="006F7A48"/>
    <w:rsid w:val="006F7B8A"/>
    <w:rsid w:val="007009A4"/>
    <w:rsid w:val="00700CFB"/>
    <w:rsid w:val="00710883"/>
    <w:rsid w:val="007153F5"/>
    <w:rsid w:val="007159BB"/>
    <w:rsid w:val="00721C7D"/>
    <w:rsid w:val="0072231E"/>
    <w:rsid w:val="00722C64"/>
    <w:rsid w:val="00723BDD"/>
    <w:rsid w:val="0073349D"/>
    <w:rsid w:val="00735620"/>
    <w:rsid w:val="00735F45"/>
    <w:rsid w:val="00741C5C"/>
    <w:rsid w:val="00745291"/>
    <w:rsid w:val="007473EB"/>
    <w:rsid w:val="00753699"/>
    <w:rsid w:val="00765B4C"/>
    <w:rsid w:val="0077345C"/>
    <w:rsid w:val="00775804"/>
    <w:rsid w:val="00775BF5"/>
    <w:rsid w:val="00780A4D"/>
    <w:rsid w:val="007813BD"/>
    <w:rsid w:val="00784C39"/>
    <w:rsid w:val="00786582"/>
    <w:rsid w:val="00787082"/>
    <w:rsid w:val="00787138"/>
    <w:rsid w:val="00794BD0"/>
    <w:rsid w:val="007A64D1"/>
    <w:rsid w:val="007B1805"/>
    <w:rsid w:val="007B265A"/>
    <w:rsid w:val="007B7E23"/>
    <w:rsid w:val="007C2839"/>
    <w:rsid w:val="007C398C"/>
    <w:rsid w:val="007C51E2"/>
    <w:rsid w:val="007C5BB6"/>
    <w:rsid w:val="007C6526"/>
    <w:rsid w:val="007C7643"/>
    <w:rsid w:val="007D3C3F"/>
    <w:rsid w:val="007D7F23"/>
    <w:rsid w:val="007E04F9"/>
    <w:rsid w:val="007E4B69"/>
    <w:rsid w:val="007E6FA9"/>
    <w:rsid w:val="007F3035"/>
    <w:rsid w:val="007F7D01"/>
    <w:rsid w:val="007F7DA0"/>
    <w:rsid w:val="008015C5"/>
    <w:rsid w:val="00801D20"/>
    <w:rsid w:val="00806772"/>
    <w:rsid w:val="008154EE"/>
    <w:rsid w:val="008209B3"/>
    <w:rsid w:val="00821AA6"/>
    <w:rsid w:val="00822A29"/>
    <w:rsid w:val="008258BC"/>
    <w:rsid w:val="00827FBE"/>
    <w:rsid w:val="00831818"/>
    <w:rsid w:val="00832710"/>
    <w:rsid w:val="00840293"/>
    <w:rsid w:val="008474CD"/>
    <w:rsid w:val="00856160"/>
    <w:rsid w:val="008635C3"/>
    <w:rsid w:val="00870A92"/>
    <w:rsid w:val="00872F41"/>
    <w:rsid w:val="00875535"/>
    <w:rsid w:val="008876E8"/>
    <w:rsid w:val="008A0CC1"/>
    <w:rsid w:val="008B05E9"/>
    <w:rsid w:val="008B534C"/>
    <w:rsid w:val="008B6ECE"/>
    <w:rsid w:val="008C4E77"/>
    <w:rsid w:val="008C5A92"/>
    <w:rsid w:val="008D0905"/>
    <w:rsid w:val="008D22AA"/>
    <w:rsid w:val="008D5D01"/>
    <w:rsid w:val="008D7967"/>
    <w:rsid w:val="008E0434"/>
    <w:rsid w:val="008E12E9"/>
    <w:rsid w:val="008E327B"/>
    <w:rsid w:val="008F12AC"/>
    <w:rsid w:val="008F2D79"/>
    <w:rsid w:val="008F3AD1"/>
    <w:rsid w:val="008F6AC8"/>
    <w:rsid w:val="00902C4B"/>
    <w:rsid w:val="00903328"/>
    <w:rsid w:val="00904362"/>
    <w:rsid w:val="009043CD"/>
    <w:rsid w:val="00905794"/>
    <w:rsid w:val="00913A6C"/>
    <w:rsid w:val="00913C1B"/>
    <w:rsid w:val="0091412C"/>
    <w:rsid w:val="00916F1C"/>
    <w:rsid w:val="00920BFE"/>
    <w:rsid w:val="0092757C"/>
    <w:rsid w:val="00932FE8"/>
    <w:rsid w:val="00933D02"/>
    <w:rsid w:val="00935A01"/>
    <w:rsid w:val="009420B0"/>
    <w:rsid w:val="0095102E"/>
    <w:rsid w:val="0095148D"/>
    <w:rsid w:val="00956CE1"/>
    <w:rsid w:val="009643EB"/>
    <w:rsid w:val="00966F83"/>
    <w:rsid w:val="00971B78"/>
    <w:rsid w:val="00973538"/>
    <w:rsid w:val="0097368B"/>
    <w:rsid w:val="009778CC"/>
    <w:rsid w:val="00983DED"/>
    <w:rsid w:val="009865C4"/>
    <w:rsid w:val="009958AC"/>
    <w:rsid w:val="009975B9"/>
    <w:rsid w:val="009A4D2C"/>
    <w:rsid w:val="009B56F9"/>
    <w:rsid w:val="009B5B18"/>
    <w:rsid w:val="009B6BF8"/>
    <w:rsid w:val="009C2121"/>
    <w:rsid w:val="009C2FC3"/>
    <w:rsid w:val="009E3A51"/>
    <w:rsid w:val="009E41F8"/>
    <w:rsid w:val="009E423B"/>
    <w:rsid w:val="009E7449"/>
    <w:rsid w:val="009E794A"/>
    <w:rsid w:val="009F0FB4"/>
    <w:rsid w:val="009F251E"/>
    <w:rsid w:val="00A04C99"/>
    <w:rsid w:val="00A14231"/>
    <w:rsid w:val="00A17E32"/>
    <w:rsid w:val="00A24F5E"/>
    <w:rsid w:val="00A345D8"/>
    <w:rsid w:val="00A50DD0"/>
    <w:rsid w:val="00A523EA"/>
    <w:rsid w:val="00A53A63"/>
    <w:rsid w:val="00A56883"/>
    <w:rsid w:val="00A57A45"/>
    <w:rsid w:val="00A642D6"/>
    <w:rsid w:val="00A64B48"/>
    <w:rsid w:val="00A65CF8"/>
    <w:rsid w:val="00A702B3"/>
    <w:rsid w:val="00A707A3"/>
    <w:rsid w:val="00A71B6D"/>
    <w:rsid w:val="00A738EB"/>
    <w:rsid w:val="00A759FA"/>
    <w:rsid w:val="00A7646A"/>
    <w:rsid w:val="00A80D3D"/>
    <w:rsid w:val="00A81D2C"/>
    <w:rsid w:val="00A9154B"/>
    <w:rsid w:val="00A926BE"/>
    <w:rsid w:val="00A947D9"/>
    <w:rsid w:val="00A96086"/>
    <w:rsid w:val="00A96844"/>
    <w:rsid w:val="00AA02A4"/>
    <w:rsid w:val="00AA2C24"/>
    <w:rsid w:val="00AB080D"/>
    <w:rsid w:val="00AB4CD5"/>
    <w:rsid w:val="00AC0AC7"/>
    <w:rsid w:val="00AC1756"/>
    <w:rsid w:val="00AC6A98"/>
    <w:rsid w:val="00AD2ADD"/>
    <w:rsid w:val="00AD349E"/>
    <w:rsid w:val="00AD56FA"/>
    <w:rsid w:val="00AE0290"/>
    <w:rsid w:val="00AE0BCA"/>
    <w:rsid w:val="00AF5808"/>
    <w:rsid w:val="00AF5B54"/>
    <w:rsid w:val="00AF613A"/>
    <w:rsid w:val="00AF6B32"/>
    <w:rsid w:val="00B02624"/>
    <w:rsid w:val="00B05AE5"/>
    <w:rsid w:val="00B33379"/>
    <w:rsid w:val="00B42DDB"/>
    <w:rsid w:val="00B43B48"/>
    <w:rsid w:val="00B51C51"/>
    <w:rsid w:val="00B5762E"/>
    <w:rsid w:val="00B66CBC"/>
    <w:rsid w:val="00B67F35"/>
    <w:rsid w:val="00B712D5"/>
    <w:rsid w:val="00B72250"/>
    <w:rsid w:val="00B74469"/>
    <w:rsid w:val="00B74DAC"/>
    <w:rsid w:val="00B76096"/>
    <w:rsid w:val="00B83505"/>
    <w:rsid w:val="00B856C4"/>
    <w:rsid w:val="00B85A1B"/>
    <w:rsid w:val="00B87AC6"/>
    <w:rsid w:val="00B943F0"/>
    <w:rsid w:val="00BA66EE"/>
    <w:rsid w:val="00BA6FAC"/>
    <w:rsid w:val="00BA750F"/>
    <w:rsid w:val="00BA761B"/>
    <w:rsid w:val="00BC2C84"/>
    <w:rsid w:val="00BC4B5A"/>
    <w:rsid w:val="00BC7350"/>
    <w:rsid w:val="00BD18F0"/>
    <w:rsid w:val="00BD2BBB"/>
    <w:rsid w:val="00BF556C"/>
    <w:rsid w:val="00C028A4"/>
    <w:rsid w:val="00C047B0"/>
    <w:rsid w:val="00C070F9"/>
    <w:rsid w:val="00C1680C"/>
    <w:rsid w:val="00C25136"/>
    <w:rsid w:val="00C328A4"/>
    <w:rsid w:val="00C34EC8"/>
    <w:rsid w:val="00C3535E"/>
    <w:rsid w:val="00C413B0"/>
    <w:rsid w:val="00C432CE"/>
    <w:rsid w:val="00C4796C"/>
    <w:rsid w:val="00C47DE7"/>
    <w:rsid w:val="00C66F10"/>
    <w:rsid w:val="00C73F0D"/>
    <w:rsid w:val="00C75511"/>
    <w:rsid w:val="00C77231"/>
    <w:rsid w:val="00C7798D"/>
    <w:rsid w:val="00C81614"/>
    <w:rsid w:val="00C85C87"/>
    <w:rsid w:val="00C87824"/>
    <w:rsid w:val="00CA04B3"/>
    <w:rsid w:val="00CB3E46"/>
    <w:rsid w:val="00CB5540"/>
    <w:rsid w:val="00CB6C44"/>
    <w:rsid w:val="00CB753C"/>
    <w:rsid w:val="00CC2555"/>
    <w:rsid w:val="00CC419B"/>
    <w:rsid w:val="00CC4FA9"/>
    <w:rsid w:val="00CD167B"/>
    <w:rsid w:val="00CD4AE6"/>
    <w:rsid w:val="00CD5B26"/>
    <w:rsid w:val="00CD7F18"/>
    <w:rsid w:val="00CE5003"/>
    <w:rsid w:val="00CF3409"/>
    <w:rsid w:val="00D00355"/>
    <w:rsid w:val="00D0299F"/>
    <w:rsid w:val="00D05CC6"/>
    <w:rsid w:val="00D1525D"/>
    <w:rsid w:val="00D178AD"/>
    <w:rsid w:val="00D20244"/>
    <w:rsid w:val="00D325D7"/>
    <w:rsid w:val="00D32C71"/>
    <w:rsid w:val="00D36541"/>
    <w:rsid w:val="00D37E7B"/>
    <w:rsid w:val="00D43F01"/>
    <w:rsid w:val="00D45AF7"/>
    <w:rsid w:val="00D50FF0"/>
    <w:rsid w:val="00D52D14"/>
    <w:rsid w:val="00D60CED"/>
    <w:rsid w:val="00D715E2"/>
    <w:rsid w:val="00D7514C"/>
    <w:rsid w:val="00D82AFF"/>
    <w:rsid w:val="00D84B93"/>
    <w:rsid w:val="00D87DE6"/>
    <w:rsid w:val="00D90F15"/>
    <w:rsid w:val="00D915C1"/>
    <w:rsid w:val="00D9232D"/>
    <w:rsid w:val="00D92B04"/>
    <w:rsid w:val="00DA2287"/>
    <w:rsid w:val="00DB0450"/>
    <w:rsid w:val="00DB1568"/>
    <w:rsid w:val="00DB37E7"/>
    <w:rsid w:val="00DC1B36"/>
    <w:rsid w:val="00DC30BF"/>
    <w:rsid w:val="00DC38AF"/>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A56"/>
    <w:rsid w:val="00E1081B"/>
    <w:rsid w:val="00E111CF"/>
    <w:rsid w:val="00E11A14"/>
    <w:rsid w:val="00E1435A"/>
    <w:rsid w:val="00E1626C"/>
    <w:rsid w:val="00E24D88"/>
    <w:rsid w:val="00E25021"/>
    <w:rsid w:val="00E33142"/>
    <w:rsid w:val="00E3693F"/>
    <w:rsid w:val="00E374A2"/>
    <w:rsid w:val="00E4607C"/>
    <w:rsid w:val="00E51240"/>
    <w:rsid w:val="00E60546"/>
    <w:rsid w:val="00E62375"/>
    <w:rsid w:val="00E65984"/>
    <w:rsid w:val="00E72BA6"/>
    <w:rsid w:val="00E738BF"/>
    <w:rsid w:val="00E8278D"/>
    <w:rsid w:val="00E84890"/>
    <w:rsid w:val="00E84FA7"/>
    <w:rsid w:val="00E8654F"/>
    <w:rsid w:val="00E86932"/>
    <w:rsid w:val="00E914A3"/>
    <w:rsid w:val="00E94C2E"/>
    <w:rsid w:val="00E94DAF"/>
    <w:rsid w:val="00E9699A"/>
    <w:rsid w:val="00EA107B"/>
    <w:rsid w:val="00EA1913"/>
    <w:rsid w:val="00EB4FE9"/>
    <w:rsid w:val="00EB65C4"/>
    <w:rsid w:val="00EC5E6B"/>
    <w:rsid w:val="00EC60C2"/>
    <w:rsid w:val="00ED5FC7"/>
    <w:rsid w:val="00EE0A6D"/>
    <w:rsid w:val="00EE0F8A"/>
    <w:rsid w:val="00EE3D86"/>
    <w:rsid w:val="00EF78D6"/>
    <w:rsid w:val="00EF7EB5"/>
    <w:rsid w:val="00F00F40"/>
    <w:rsid w:val="00F03713"/>
    <w:rsid w:val="00F10AE8"/>
    <w:rsid w:val="00F1313D"/>
    <w:rsid w:val="00F14855"/>
    <w:rsid w:val="00F176F3"/>
    <w:rsid w:val="00F21E77"/>
    <w:rsid w:val="00F22EA0"/>
    <w:rsid w:val="00F22FA9"/>
    <w:rsid w:val="00F27082"/>
    <w:rsid w:val="00F30A7C"/>
    <w:rsid w:val="00F34D6C"/>
    <w:rsid w:val="00F351A4"/>
    <w:rsid w:val="00F40FC9"/>
    <w:rsid w:val="00F4178D"/>
    <w:rsid w:val="00F41DFE"/>
    <w:rsid w:val="00F43EA8"/>
    <w:rsid w:val="00F46090"/>
    <w:rsid w:val="00F5035A"/>
    <w:rsid w:val="00F62431"/>
    <w:rsid w:val="00F80043"/>
    <w:rsid w:val="00F82D9C"/>
    <w:rsid w:val="00F85366"/>
    <w:rsid w:val="00F8784C"/>
    <w:rsid w:val="00F9352C"/>
    <w:rsid w:val="00F9640B"/>
    <w:rsid w:val="00FA0750"/>
    <w:rsid w:val="00FA0AA2"/>
    <w:rsid w:val="00FA0EA2"/>
    <w:rsid w:val="00FA21A8"/>
    <w:rsid w:val="00FA5790"/>
    <w:rsid w:val="00FB796E"/>
    <w:rsid w:val="00FC2346"/>
    <w:rsid w:val="00FC3B78"/>
    <w:rsid w:val="00FC505E"/>
    <w:rsid w:val="00FC51BC"/>
    <w:rsid w:val="00FD63AF"/>
    <w:rsid w:val="00FD6F63"/>
    <w:rsid w:val="00FE139F"/>
    <w:rsid w:val="00FE3FDE"/>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s-ES"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87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258102664">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2056992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7748624">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31546056">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09492756">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cameolight.com/p6profil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187A8C-AC45-4184-82AB-B7486C523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FC61DF-408F-4C6D-9452-AE2EE9ACA51D}">
  <ds:schemaRefs>
    <ds:schemaRef ds:uri="http://schemas.microsoft.com/sharepoint/v3/contenttype/forms"/>
  </ds:schemaRefs>
</ds:datastoreItem>
</file>

<file path=customXml/itemProps3.xml><?xml version="1.0" encoding="utf-8"?>
<ds:datastoreItem xmlns:ds="http://schemas.openxmlformats.org/officeDocument/2006/customXml" ds:itemID="{4A2C020F-927C-4A47-9F9F-B2C52C9440BB}">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766</Words>
  <Characters>4831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58</cp:revision>
  <cp:lastPrinted>2019-01-10T17:28:00Z</cp:lastPrinted>
  <dcterms:created xsi:type="dcterms:W3CDTF">2019-03-28T12:10:00Z</dcterms:created>
  <dcterms:modified xsi:type="dcterms:W3CDTF">2025-04-07T08:19:00Z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