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306E8392" w:rsidR="00983DED" w:rsidRPr="00795B52" w:rsidRDefault="006621E1" w:rsidP="00983DED">
      <w:pPr>
        <w:rPr>
          <w:rFonts w:ascii="Calibri" w:hAnsi="Calibri" w:cs="Calibri"/>
          <w:b/>
          <w:color w:val="000000" w:themeColor="text1"/>
          <w:sz w:val="44"/>
          <w:szCs w:val="44"/>
        </w:rPr>
      </w:pPr>
      <w:r>
        <w:rPr>
          <w:rFonts w:ascii="Calibri" w:hAnsi="Calibri"/>
          <w:b/>
          <w:sz w:val="44"/>
        </w:rPr>
        <w:t>Future Unlocked – Cameo présente l’ORON® H2, la première tête mobile hybride IP65 au monde avec moteur laser au phosphore</w:t>
      </w:r>
    </w:p>
    <w:p w14:paraId="39088B19" w14:textId="77777777" w:rsidR="00BD53E0" w:rsidRPr="00795B52" w:rsidRDefault="00BD53E0" w:rsidP="00983DED">
      <w:pPr>
        <w:rPr>
          <w:rFonts w:ascii="Calibri" w:hAnsi="Calibri" w:cs="Calibri"/>
          <w:b/>
          <w:color w:val="000000" w:themeColor="text1"/>
          <w:sz w:val="44"/>
          <w:szCs w:val="44"/>
        </w:rPr>
      </w:pPr>
    </w:p>
    <w:p w14:paraId="2F610951" w14:textId="531ADD97" w:rsidR="00015E13" w:rsidRPr="00795B52"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Allemagne – </w:t>
      </w:r>
      <w:r>
        <w:rPr>
          <w:rFonts w:ascii="Calibri" w:hAnsi="Calibri"/>
          <w:b/>
          <w:sz w:val="22"/>
          <w:bdr w:val="none" w:sz="0" w:space="0" w:color="auto" w:frame="1"/>
        </w:rPr>
        <w:t>2</w:t>
      </w:r>
      <w:r w:rsidR="007A7D1A">
        <w:rPr>
          <w:rFonts w:ascii="Calibri" w:hAnsi="Calibri"/>
          <w:b/>
          <w:sz w:val="22"/>
          <w:bdr w:val="none" w:sz="0" w:space="0" w:color="auto" w:frame="1"/>
        </w:rPr>
        <w:t>7</w:t>
      </w:r>
      <w:r>
        <w:rPr>
          <w:rFonts w:ascii="Calibri" w:hAnsi="Calibri"/>
          <w:b/>
          <w:sz w:val="22"/>
          <w:bdr w:val="none" w:sz="0" w:space="0" w:color="auto" w:frame="1"/>
        </w:rPr>
        <w:t xml:space="preserve"> mai 2024 </w:t>
      </w:r>
      <w:r>
        <w:rPr>
          <w:rFonts w:ascii="Calibri" w:hAnsi="Calibri"/>
          <w:b/>
          <w:color w:val="0D0D0D" w:themeColor="text1" w:themeTint="F2"/>
          <w:sz w:val="22"/>
          <w:bdr w:val="none" w:sz="0" w:space="0" w:color="auto" w:frame="1"/>
        </w:rPr>
        <w:t>–</w:t>
      </w:r>
      <w:r>
        <w:rPr>
          <w:rFonts w:ascii="Calibri" w:hAnsi="Calibri"/>
          <w:b/>
          <w:color w:val="000000" w:themeColor="text1"/>
          <w:sz w:val="22"/>
          <w:bdr w:val="none" w:sz="0" w:space="0" w:color="auto" w:frame="1"/>
        </w:rPr>
        <w:t xml:space="preserve"> Avec l’ORON H2, Cameo présente la première tête mobile hybride IP65 au monde avec moteur laser au phosphore Avec sa combinaison de faisceau, de spot et de wash, ainsi qu’une plage de zoom inégalée pour les têtes mobiles laser, l’ORON H2 convient à une utilisation particulièrement flexible sur des scènes de taille moyenne et grande – en intérieur comme en extérieur. De plus, grâce à sa technologie laser, l’ORON H2 constitue une alternative porteuse et durable à l’interdiction prochaine des lampes à décharge par l’UE à partir de 2027.</w:t>
      </w:r>
    </w:p>
    <w:p w14:paraId="69DA0383" w14:textId="77777777" w:rsidR="00127E30" w:rsidRPr="00795B52" w:rsidRDefault="00127E30" w:rsidP="00CC419B">
      <w:pPr>
        <w:rPr>
          <w:rFonts w:ascii="Calibri" w:hAnsi="Calibri" w:cs="Calibri"/>
          <w:sz w:val="22"/>
          <w:szCs w:val="22"/>
        </w:rPr>
      </w:pPr>
    </w:p>
    <w:p w14:paraId="6EAB76AE" w14:textId="574E29E2" w:rsidR="00576053" w:rsidRPr="00795B52" w:rsidRDefault="00015E13" w:rsidP="00CC419B">
      <w:pPr>
        <w:rPr>
          <w:rFonts w:ascii="Calibri" w:hAnsi="Calibri" w:cs="Calibri"/>
          <w:sz w:val="22"/>
          <w:szCs w:val="22"/>
        </w:rPr>
      </w:pPr>
      <w:r>
        <w:rPr>
          <w:rFonts w:ascii="Calibri" w:hAnsi="Calibri"/>
          <w:sz w:val="22"/>
        </w:rPr>
        <w:t>Le Cameo ORON H2 est basé sur un moteur laser au phosphore de 260 watts qui remplace les lampes à décharge de la classe des 480 watts avec une efficacité énergétique durable. Le moteur laser de l’ORON H2 dispose d’une puissance lumineuse énorme de 330 000 lux à 20 mètres de distance ainsi que d’un angle de faisceau minimal extrêmement étroit de 0,6°, obtenu sans l’utilisation d’un réducteur de faisceau. Pour une utilisation hybride flexible, l’ORON H2 offre – par rapport à d’autres têtes mobiles laser du marché – une plage de zoom étendue jusqu’à 32° afin de pouvoir réaliser sans problème des projections de gobos et d’autres effets.</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Pr>
          <w:rFonts w:ascii="Calibri" w:hAnsi="Calibri"/>
          <w:sz w:val="22"/>
        </w:rPr>
        <w:t xml:space="preserve">Avec 19 gobos fixes et 12 rotatifs ainsi que deux roues à effet combinables avec six prismes, un ovalizer et des filtres antigel, la tête mobile laser permet de répondre à tous les désirs créatifs lors de la conception du faisceau. Le mélange de couleurs CMY offre aux utilisateurs tout l’espace chromatique CMY, y compris le blanc, complété par une correction CTO linéaire. </w:t>
      </w:r>
    </w:p>
    <w:p w14:paraId="5EAB3323" w14:textId="77777777" w:rsidR="00772A02" w:rsidRPr="00795B52" w:rsidRDefault="00772A02" w:rsidP="00CC419B">
      <w:pPr>
        <w:rPr>
          <w:rFonts w:ascii="Calibri" w:hAnsi="Calibri" w:cs="Calibri"/>
          <w:sz w:val="22"/>
          <w:szCs w:val="22"/>
        </w:rPr>
      </w:pPr>
    </w:p>
    <w:p w14:paraId="7311DB07" w14:textId="70EACBC5" w:rsidR="00E7519F" w:rsidRDefault="00995E3E" w:rsidP="00CC419B">
      <w:pPr>
        <w:rPr>
          <w:rFonts w:ascii="Calibri" w:hAnsi="Calibri" w:cs="Calibri"/>
          <w:sz w:val="22"/>
          <w:szCs w:val="22"/>
        </w:rPr>
      </w:pPr>
      <w:r>
        <w:rPr>
          <w:rFonts w:ascii="Calibri" w:hAnsi="Calibri"/>
          <w:sz w:val="22"/>
        </w:rPr>
        <w:t>L’ORON H2 est une tête mobile particulièrement compacte qui, avec un poids de seulement 32 kg, permet une manipulation et une configuration simples et rapides. Avec sa tête mobile IP65, le projecteur hybride convient en outre parfaitement à une utilisation en extérieur. Pour le pilotage, les utilisateurs peuvent recourir à toutes les technologies et tous les protocoles pertinents sur le marché. DMX/RDM, Art-Net, sACN, W-DMX et CRMX sont disponibles au choix. Pour un transport sûr, Cameo livre l’ORON H2 avec un boîtier de tourisme spécialement adapté et protégeant contre les chocs.</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Pr>
          <w:rFonts w:ascii="Calibri" w:hAnsi="Calibri"/>
          <w:b/>
          <w:sz w:val="22"/>
        </w:rPr>
        <w:t>Daniel Wrase, Cameo Senior Product Manager :</w:t>
      </w:r>
      <w:r w:rsidRPr="00485F2E">
        <w:rPr>
          <w:rFonts w:ascii="Calibri" w:hAnsi="Calibri"/>
          <w:sz w:val="22"/>
          <w:szCs w:val="22"/>
        </w:rPr>
        <w:t xml:space="preserve"> « Avec l’ORON H2, nous voulons répondre au souhait de nos clients et proposer un projecteur rotatif pour un champ d’application extrêmement large. Jusqu’à présent, un tel projecteur hybride avec source lumineuse d’avenir faisait défaut sur le marché et dans le portefeuille de produits Cameo. »</w:t>
      </w:r>
    </w:p>
    <w:p w14:paraId="3ED95B26" w14:textId="77777777" w:rsidR="008E244F" w:rsidRDefault="008E244F" w:rsidP="00CC419B">
      <w:pPr>
        <w:rPr>
          <w:rFonts w:ascii="Calibri" w:hAnsi="Calibri" w:cs="Calibri"/>
          <w:sz w:val="22"/>
          <w:szCs w:val="22"/>
        </w:rPr>
      </w:pPr>
    </w:p>
    <w:p w14:paraId="7392BCE8" w14:textId="1A17EAD1" w:rsidR="00F61F09" w:rsidRPr="008E244F" w:rsidRDefault="00F61F09" w:rsidP="00CC419B">
      <w:pPr>
        <w:rPr>
          <w:rFonts w:ascii="Calibri" w:hAnsi="Calibri" w:cs="Calibri"/>
          <w:sz w:val="22"/>
          <w:szCs w:val="22"/>
        </w:rPr>
      </w:pPr>
      <w:r>
        <w:rPr>
          <w:rFonts w:ascii="Calibri" w:hAnsi="Calibri"/>
          <w:b/>
          <w:sz w:val="22"/>
        </w:rPr>
        <w:lastRenderedPageBreak/>
        <w:t>Frithjof Rother, Project Manager Light Technology :</w:t>
      </w:r>
      <w:r>
        <w:rPr>
          <w:rFonts w:ascii="Calibri" w:hAnsi="Calibri"/>
          <w:sz w:val="22"/>
        </w:rPr>
        <w:t xml:space="preserve"> « L’utilisation d’une source lumineuse laser au phosphore dans les têtes mobiles marque une avancée significative dans l’évolution de la technique événementielle. Cette technologie innovante offre un large éventail de possibilités pour concevoir des événements impressionnants et immersifs. Le développement et le perfectionnement continus de cette technologie ont une influence déterminante sur l’avenir des techniques d’éclairage. »</w:t>
      </w:r>
    </w:p>
    <w:p w14:paraId="4D324AC7" w14:textId="77777777" w:rsidR="00F61F09" w:rsidRPr="00795B52" w:rsidRDefault="00F61F09" w:rsidP="00CC419B">
      <w:pPr>
        <w:rPr>
          <w:rFonts w:ascii="Calibri" w:hAnsi="Calibri" w:cs="Calibri"/>
          <w:sz w:val="22"/>
          <w:szCs w:val="22"/>
        </w:rPr>
      </w:pPr>
    </w:p>
    <w:p w14:paraId="228C6A18" w14:textId="31B29A54" w:rsidR="002B6ABD" w:rsidRPr="003525AB" w:rsidRDefault="00576053" w:rsidP="00CC419B">
      <w:pPr>
        <w:rPr>
          <w:rFonts w:ascii="Calibri" w:hAnsi="Calibri" w:cs="Calibri"/>
          <w:sz w:val="22"/>
          <w:szCs w:val="22"/>
        </w:rPr>
      </w:pPr>
      <w:r>
        <w:rPr>
          <w:rFonts w:ascii="Calibri" w:hAnsi="Calibri"/>
          <w:sz w:val="22"/>
        </w:rPr>
        <w:t>La tête mobile hybride Cameo ORON H2 IP65 sera disponible à partir de fin juin.</w:t>
      </w:r>
    </w:p>
    <w:p w14:paraId="236E62B2" w14:textId="77777777" w:rsidR="00CC419B" w:rsidRPr="003525AB" w:rsidRDefault="00CC419B" w:rsidP="00CC419B">
      <w:pPr>
        <w:rPr>
          <w:rFonts w:ascii="Calibri" w:hAnsi="Calibri" w:cs="Calibri"/>
          <w:color w:val="000000" w:themeColor="text1"/>
          <w:sz w:val="22"/>
          <w:szCs w:val="22"/>
        </w:rPr>
      </w:pPr>
    </w:p>
    <w:p w14:paraId="3671C46F" w14:textId="20599AC5" w:rsidR="003A6419" w:rsidRPr="00795B52"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795B52">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795B52" w:rsidRDefault="006D2E7A" w:rsidP="00E05A29">
      <w:pPr>
        <w:rPr>
          <w:rStyle w:val="Hyperlink"/>
          <w:rFonts w:ascii="Calibri" w:hAnsi="Calibri" w:cs="Calibri"/>
          <w:sz w:val="22"/>
          <w:szCs w:val="22"/>
        </w:rPr>
      </w:pPr>
      <w:r>
        <w:rPr>
          <w:rFonts w:ascii="Calibri" w:hAnsi="Calibri"/>
          <w:b/>
          <w:sz w:val="22"/>
        </w:rPr>
        <w:t xml:space="preserve">Pour plus d’informations : </w:t>
      </w:r>
    </w:p>
    <w:p w14:paraId="69E1E3FD" w14:textId="788E598E" w:rsidR="004F3D40" w:rsidRPr="00795B52" w:rsidRDefault="004435E3" w:rsidP="004F3D40">
      <w:pPr>
        <w:rPr>
          <w:rStyle w:val="Hyperlink"/>
          <w:rFonts w:ascii="Calibri" w:eastAsia="Arial" w:hAnsi="Calibri" w:cs="Calibri"/>
          <w:sz w:val="22"/>
          <w:szCs w:val="22"/>
        </w:rPr>
      </w:pPr>
      <w:hyperlink r:id="rId7" w:history="1">
        <w:r w:rsidR="001415F8" w:rsidRPr="004435E3">
          <w:rPr>
            <w:rStyle w:val="Hyperlink"/>
            <w:rFonts w:ascii="Calibri" w:hAnsi="Calibri"/>
            <w:sz w:val="22"/>
          </w:rPr>
          <w:t>cameolight.com/</w:t>
        </w:r>
        <w:proofErr w:type="spellStart"/>
        <w:r w:rsidR="001415F8" w:rsidRPr="004435E3">
          <w:rPr>
            <w:rStyle w:val="Hyperlink"/>
            <w:rFonts w:ascii="Calibri" w:hAnsi="Calibri"/>
            <w:sz w:val="22"/>
          </w:rPr>
          <w:t>oron</w:t>
        </w:r>
        <w:proofErr w:type="spellEnd"/>
      </w:hyperlink>
    </w:p>
    <w:p w14:paraId="579C3CBA" w14:textId="77777777" w:rsidR="004F3D40" w:rsidRPr="00795B52" w:rsidRDefault="004F3D40" w:rsidP="00E05A29">
      <w:pPr>
        <w:rPr>
          <w:rFonts w:ascii="Calibri" w:hAnsi="Calibri" w:cs="Calibri"/>
          <w:b/>
          <w:sz w:val="22"/>
          <w:szCs w:val="22"/>
        </w:rPr>
      </w:pPr>
    </w:p>
    <w:p w14:paraId="00077636" w14:textId="724EFFBE" w:rsidR="004F3D40" w:rsidRPr="00795B52" w:rsidRDefault="00000000" w:rsidP="004F3D40">
      <w:pPr>
        <w:rPr>
          <w:rStyle w:val="Hyperlink"/>
          <w:rFonts w:ascii="Calibri" w:eastAsia="Arial" w:hAnsi="Calibri" w:cs="Calibri"/>
          <w:color w:val="auto"/>
          <w:sz w:val="22"/>
          <w:szCs w:val="22"/>
          <w:u w:val="none"/>
        </w:rPr>
      </w:pPr>
      <w:hyperlink r:id="rId8" w:history="1">
        <w:r w:rsidR="001415F8">
          <w:rPr>
            <w:rStyle w:val="Hyperlink"/>
            <w:rFonts w:ascii="Calibri" w:hAnsi="Calibri"/>
            <w:sz w:val="22"/>
          </w:rPr>
          <w:t>adamhall.com</w:t>
        </w:r>
      </w:hyperlink>
      <w:r w:rsidR="004F3D40" w:rsidRPr="00795B52">
        <w:rPr>
          <w:rFonts w:ascii="Calibri" w:hAnsi="Calibri"/>
          <w:sz w:val="22"/>
          <w:szCs w:val="22"/>
          <w:u w:val="single"/>
        </w:rPr>
        <w:br/>
      </w:r>
      <w:hyperlink r:id="rId9" w:history="1">
        <w:r w:rsidR="001415F8">
          <w:rPr>
            <w:rStyle w:val="Hyperlink"/>
            <w:rFonts w:ascii="Calibri" w:hAnsi="Calibri"/>
            <w:sz w:val="22"/>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À propos de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fabricant allemand leader et une société de distribution proposant des solutions de technique événementielle pour des clients commerciaux du monde entier. Les groupes cibles sont notamment les détaillants, les distributeurs B2B, les entreprises d’événements et de location en direct, les studios de radiodiffusion, les intégrateurs audiovisuels et systèmes, les entreprises privées et publiques ainsi que les fabricants de flightcases industriels. L’entreprise propose une large gamme de technologies audio et d’éclairage professionnelles ainsi que des équipements de scène et du matériel flightcase sous les marques LD Systems®, Cameo®, Gravity®, Defender®, Palmer® et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Fondé en 1975, Adam Hall Group est devenu une entreprise moderne et innovante dans le domaine de la technique événementielle. Le Logistics Park, qui compte 14 000 mètres carrés de surface de stockage sur le site du siège social de l’entreprise, près de Francfort-sur-le-Main, en Allemagne, en fait partie. En mettant l’accent sur la valeur et l’orientation service, Adam Hall Group s’est vu décerner une série de distinctions internationales pour ses développements de produits innovants et son design avant-gardiste par des institutions de renom telles que Red Dot, German Design Award et iF Industrie Forum Design. En collaboration avec l’agence de design Studio F.A. Porsche, LD Systems® montre avec l’emblématique haut-parleur colonne MAUI® P900 l’avenir du design pro-audio et s’est récemment vu décerner le très convoité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Pour plus d’informations sur Adam Hall Group, rendez-vous sur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81D2D" w14:textId="77777777" w:rsidR="008A2A29" w:rsidRDefault="008A2A29" w:rsidP="004330C6">
      <w:r>
        <w:separator/>
      </w:r>
    </w:p>
  </w:endnote>
  <w:endnote w:type="continuationSeparator" w:id="0">
    <w:p w14:paraId="654B1E4D" w14:textId="77777777" w:rsidR="008A2A29" w:rsidRDefault="008A2A29" w:rsidP="004330C6">
      <w:r>
        <w:continuationSeparator/>
      </w:r>
    </w:p>
  </w:endnote>
  <w:endnote w:type="continuationNotice" w:id="1">
    <w:p w14:paraId="7102C06C" w14:textId="77777777" w:rsidR="008A2A29" w:rsidRDefault="008A2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463F8" w14:textId="77777777" w:rsidR="008A2A29" w:rsidRDefault="008A2A29" w:rsidP="004330C6">
      <w:r>
        <w:separator/>
      </w:r>
    </w:p>
  </w:footnote>
  <w:footnote w:type="continuationSeparator" w:id="0">
    <w:p w14:paraId="5BC4078D" w14:textId="77777777" w:rsidR="008A2A29" w:rsidRDefault="008A2A29" w:rsidP="004330C6">
      <w:r>
        <w:continuationSeparator/>
      </w:r>
    </w:p>
  </w:footnote>
  <w:footnote w:type="continuationNotice" w:id="1">
    <w:p w14:paraId="01CEF934" w14:textId="77777777" w:rsidR="008A2A29" w:rsidRDefault="008A2A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623C"/>
    <w:rsid w:val="00117311"/>
    <w:rsid w:val="00117B88"/>
    <w:rsid w:val="00120233"/>
    <w:rsid w:val="001205C6"/>
    <w:rsid w:val="00121ECB"/>
    <w:rsid w:val="00121EEB"/>
    <w:rsid w:val="00124F49"/>
    <w:rsid w:val="00127E30"/>
    <w:rsid w:val="00134EF8"/>
    <w:rsid w:val="00135BAE"/>
    <w:rsid w:val="00136957"/>
    <w:rsid w:val="001415F8"/>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25AB"/>
    <w:rsid w:val="00354360"/>
    <w:rsid w:val="00355ED4"/>
    <w:rsid w:val="003573C2"/>
    <w:rsid w:val="00362474"/>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32C94"/>
    <w:rsid w:val="004330C6"/>
    <w:rsid w:val="00436349"/>
    <w:rsid w:val="0043686C"/>
    <w:rsid w:val="0043733D"/>
    <w:rsid w:val="004435E3"/>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2BC0"/>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2EFF"/>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4BD0"/>
    <w:rsid w:val="00795B52"/>
    <w:rsid w:val="007A64D1"/>
    <w:rsid w:val="007A7D1A"/>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2A29"/>
    <w:rsid w:val="008A4786"/>
    <w:rsid w:val="008B028A"/>
    <w:rsid w:val="008C5A92"/>
    <w:rsid w:val="008D22AA"/>
    <w:rsid w:val="008D270D"/>
    <w:rsid w:val="008D2969"/>
    <w:rsid w:val="008D5D01"/>
    <w:rsid w:val="008D6450"/>
    <w:rsid w:val="008D652E"/>
    <w:rsid w:val="008E0434"/>
    <w:rsid w:val="008E12E9"/>
    <w:rsid w:val="008E244F"/>
    <w:rsid w:val="008E327B"/>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2102F"/>
    <w:rsid w:val="00C25136"/>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AF7"/>
    <w:rsid w:val="00D50FF0"/>
    <w:rsid w:val="00D52D14"/>
    <w:rsid w:val="00D54A41"/>
    <w:rsid w:val="00D60883"/>
    <w:rsid w:val="00D60CED"/>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80043"/>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en/Series/ORON-Serie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4539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33</cp:revision>
  <cp:lastPrinted>2019-01-10T17:28:00Z</cp:lastPrinted>
  <dcterms:created xsi:type="dcterms:W3CDTF">2024-02-29T11:01:00Z</dcterms:created>
  <dcterms:modified xsi:type="dcterms:W3CDTF">2024-05-27T10:18:00Z</dcterms:modified>
</cp:coreProperties>
</file>